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2978AF">
      <w:pPr>
        <w:widowControl/>
        <w:spacing w:line="400" w:lineRule="atLeast"/>
        <w:ind w:firstLine="0" w:firstLineChars="0"/>
        <w:rPr>
          <w:b/>
          <w:bCs/>
          <w:sz w:val="40"/>
          <w:szCs w:val="40"/>
          <w:highlight w:val="none"/>
        </w:rPr>
      </w:pPr>
      <w:bookmarkStart w:id="0" w:name="_Hlk67315894"/>
      <w:bookmarkStart w:id="1" w:name="_Toc185182814"/>
      <w:r>
        <w:rPr>
          <w:rFonts w:hint="eastAsia"/>
          <w:b/>
          <w:bCs/>
          <w:sz w:val="40"/>
          <w:szCs w:val="40"/>
          <w:highlight w:val="none"/>
        </w:rPr>
        <w:drawing>
          <wp:inline distT="0" distB="0" distL="114300" distR="114300">
            <wp:extent cx="2030730" cy="384810"/>
            <wp:effectExtent l="0" t="0" r="7620" b="15240"/>
            <wp:docPr id="9" name="图片 9" descr="80c0afec691b8f1b9b7d271f6ed1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80c0afec691b8f1b9b7d271f6ed1778"/>
                    <pic:cNvPicPr>
                      <a:picLocks noChangeAspect="1"/>
                    </pic:cNvPicPr>
                  </pic:nvPicPr>
                  <pic:blipFill>
                    <a:blip r:embed="rId24"/>
                    <a:stretch>
                      <a:fillRect/>
                    </a:stretch>
                  </pic:blipFill>
                  <pic:spPr>
                    <a:xfrm>
                      <a:off x="0" y="0"/>
                      <a:ext cx="2030730" cy="384810"/>
                    </a:xfrm>
                    <a:prstGeom prst="rect">
                      <a:avLst/>
                    </a:prstGeom>
                  </pic:spPr>
                </pic:pic>
              </a:graphicData>
            </a:graphic>
          </wp:inline>
        </w:drawing>
      </w:r>
    </w:p>
    <w:bookmarkEnd w:id="0"/>
    <w:p w14:paraId="4F079E3A">
      <w:pPr>
        <w:widowControl/>
        <w:wordWrap w:val="0"/>
        <w:spacing w:line="400" w:lineRule="atLeast"/>
        <w:ind w:firstLine="422"/>
        <w:rPr>
          <w:b/>
          <w:bCs/>
          <w:kern w:val="0"/>
          <w:szCs w:val="21"/>
          <w:highlight w:val="none"/>
        </w:rPr>
      </w:pPr>
    </w:p>
    <w:p w14:paraId="724DE9F0">
      <w:pPr>
        <w:spacing w:line="360" w:lineRule="auto"/>
        <w:ind w:firstLine="0" w:firstLineChars="0"/>
        <w:jc w:val="center"/>
        <w:rPr>
          <w:b/>
          <w:bCs/>
          <w:color w:val="000000"/>
          <w:sz w:val="48"/>
          <w:highlight w:val="none"/>
        </w:rPr>
      </w:pPr>
    </w:p>
    <w:p w14:paraId="3D4A32D8">
      <w:pPr>
        <w:pStyle w:val="60"/>
        <w:rPr>
          <w:b/>
          <w:bCs/>
          <w:color w:val="000000"/>
          <w:sz w:val="48"/>
          <w:highlight w:val="none"/>
        </w:rPr>
      </w:pPr>
    </w:p>
    <w:p w14:paraId="0FF07DFE">
      <w:pPr>
        <w:pStyle w:val="2"/>
        <w:spacing w:line="360" w:lineRule="auto"/>
        <w:ind w:firstLine="0" w:firstLineChars="0"/>
        <w:jc w:val="center"/>
        <w:rPr>
          <w:sz w:val="22"/>
          <w:szCs w:val="28"/>
          <w:highlight w:val="none"/>
        </w:rPr>
      </w:pPr>
      <w:r>
        <w:rPr>
          <w:rFonts w:hint="eastAsia" w:eastAsia="黑体"/>
          <w:b/>
          <w:bCs/>
          <w:sz w:val="56"/>
          <w:szCs w:val="56"/>
          <w:highlight w:val="none"/>
          <w:lang w:val="en-US" w:eastAsia="zh-CN"/>
        </w:rPr>
        <w:t>2026-2028年综保区冷链保险服务采购项目</w:t>
      </w:r>
    </w:p>
    <w:p w14:paraId="3F3DB52A">
      <w:pPr>
        <w:pStyle w:val="2"/>
        <w:ind w:firstLine="420"/>
        <w:rPr>
          <w:highlight w:val="none"/>
        </w:rPr>
      </w:pPr>
    </w:p>
    <w:p w14:paraId="3D5BE87F">
      <w:pPr>
        <w:pStyle w:val="2"/>
        <w:ind w:firstLine="420"/>
        <w:rPr>
          <w:highlight w:val="none"/>
        </w:rPr>
      </w:pPr>
    </w:p>
    <w:p w14:paraId="09F31A9E">
      <w:pPr>
        <w:pStyle w:val="2"/>
        <w:ind w:firstLine="420"/>
        <w:rPr>
          <w:highlight w:val="none"/>
        </w:rPr>
      </w:pPr>
    </w:p>
    <w:p w14:paraId="4E50E801">
      <w:pPr>
        <w:pStyle w:val="2"/>
        <w:ind w:firstLine="420"/>
        <w:rPr>
          <w:highlight w:val="none"/>
        </w:rPr>
      </w:pPr>
    </w:p>
    <w:p w14:paraId="10E14895">
      <w:pPr>
        <w:widowControl/>
        <w:wordWrap w:val="0"/>
        <w:spacing w:line="400" w:lineRule="atLeast"/>
        <w:ind w:firstLine="0" w:firstLineChars="0"/>
        <w:jc w:val="center"/>
        <w:rPr>
          <w:rFonts w:eastAsiaTheme="majorEastAsia"/>
          <w:b/>
          <w:bCs/>
          <w:kern w:val="0"/>
          <w:sz w:val="24"/>
          <w:highlight w:val="none"/>
          <w:u w:val="single"/>
        </w:rPr>
      </w:pPr>
      <w:r>
        <w:rPr>
          <w:rFonts w:eastAsiaTheme="majorEastAsia"/>
          <w:b/>
          <w:bCs/>
          <w:kern w:val="0"/>
          <w:sz w:val="72"/>
          <w:highlight w:val="none"/>
        </w:rPr>
        <w:t>竞争性谈判文件</w:t>
      </w:r>
    </w:p>
    <w:p w14:paraId="2DAA23EB">
      <w:pPr>
        <w:pStyle w:val="365"/>
        <w:spacing w:line="400" w:lineRule="atLeast"/>
        <w:ind w:firstLine="964" w:firstLineChars="300"/>
        <w:jc w:val="center"/>
        <w:rPr>
          <w:rFonts w:ascii="Times New Roman" w:hAnsi="Times New Roman" w:eastAsia="黑体"/>
          <w:b/>
          <w:bCs/>
          <w:sz w:val="32"/>
          <w:highlight w:val="none"/>
        </w:rPr>
      </w:pPr>
    </w:p>
    <w:p w14:paraId="7330B327">
      <w:pPr>
        <w:pStyle w:val="365"/>
        <w:spacing w:line="400" w:lineRule="atLeast"/>
        <w:ind w:firstLine="964" w:firstLineChars="300"/>
        <w:jc w:val="center"/>
        <w:rPr>
          <w:rFonts w:ascii="Times New Roman" w:hAnsi="Times New Roman" w:eastAsia="黑体"/>
          <w:b/>
          <w:bCs/>
          <w:sz w:val="32"/>
          <w:highlight w:val="none"/>
        </w:rPr>
      </w:pPr>
    </w:p>
    <w:p w14:paraId="2E55D5A2">
      <w:pPr>
        <w:pStyle w:val="365"/>
        <w:spacing w:line="400" w:lineRule="atLeast"/>
        <w:ind w:firstLine="964" w:firstLineChars="300"/>
        <w:jc w:val="center"/>
        <w:rPr>
          <w:rFonts w:ascii="Times New Roman" w:hAnsi="Times New Roman" w:eastAsia="黑体"/>
          <w:b/>
          <w:bCs/>
          <w:sz w:val="32"/>
          <w:highlight w:val="none"/>
        </w:rPr>
      </w:pPr>
    </w:p>
    <w:p w14:paraId="072A617D">
      <w:pPr>
        <w:widowControl/>
        <w:wordWrap w:val="0"/>
        <w:spacing w:line="400" w:lineRule="atLeast"/>
        <w:ind w:left="0" w:leftChars="0" w:firstLine="0" w:firstLineChars="0"/>
        <w:jc w:val="both"/>
        <w:rPr>
          <w:kern w:val="0"/>
          <w:szCs w:val="21"/>
          <w:highlight w:val="none"/>
        </w:rPr>
      </w:pPr>
    </w:p>
    <w:p w14:paraId="1B6E6274">
      <w:pPr>
        <w:widowControl/>
        <w:wordWrap w:val="0"/>
        <w:spacing w:line="400" w:lineRule="atLeast"/>
        <w:ind w:firstLine="420"/>
        <w:jc w:val="center"/>
        <w:rPr>
          <w:kern w:val="0"/>
          <w:szCs w:val="21"/>
          <w:highlight w:val="none"/>
        </w:rPr>
      </w:pPr>
    </w:p>
    <w:bookmarkEnd w:id="1"/>
    <w:p w14:paraId="75D773ED">
      <w:pPr>
        <w:spacing w:line="360" w:lineRule="auto"/>
        <w:ind w:firstLine="1280" w:firstLineChars="400"/>
        <w:jc w:val="left"/>
        <w:rPr>
          <w:sz w:val="32"/>
          <w:szCs w:val="32"/>
          <w:highlight w:val="none"/>
        </w:rPr>
      </w:pPr>
      <w:bookmarkStart w:id="2" w:name="_Toc12025627"/>
      <w:bookmarkStart w:id="3" w:name="_Toc161156573"/>
      <w:bookmarkStart w:id="4" w:name="_Toc274636671"/>
      <w:bookmarkStart w:id="5" w:name="_Toc162622189"/>
      <w:bookmarkStart w:id="6" w:name="_Toc161154240"/>
      <w:bookmarkStart w:id="7" w:name="_Toc162618954"/>
      <w:bookmarkStart w:id="8" w:name="_Toc161155873"/>
      <w:bookmarkStart w:id="9" w:name="_Toc185182816"/>
      <w:r>
        <w:rPr>
          <w:sz w:val="32"/>
          <w:szCs w:val="32"/>
          <w:highlight w:val="none"/>
        </w:rPr>
        <w:t>采 购 人：</w:t>
      </w:r>
      <w:r>
        <w:rPr>
          <w:rFonts w:hint="eastAsia"/>
          <w:sz w:val="32"/>
          <w:szCs w:val="32"/>
          <w:highlight w:val="none"/>
          <w:lang w:eastAsia="zh-CN"/>
        </w:rPr>
        <w:t xml:space="preserve">连云港徐圩冷链保税服务有限公司 </w:t>
      </w:r>
      <w:r>
        <w:rPr>
          <w:sz w:val="32"/>
          <w:szCs w:val="32"/>
          <w:highlight w:val="none"/>
        </w:rPr>
        <w:t xml:space="preserve">  </w:t>
      </w:r>
    </w:p>
    <w:p w14:paraId="50D74ACA">
      <w:pPr>
        <w:spacing w:line="360" w:lineRule="auto"/>
        <w:ind w:firstLine="1280" w:firstLineChars="400"/>
        <w:jc w:val="left"/>
        <w:rPr>
          <w:sz w:val="32"/>
          <w:szCs w:val="32"/>
          <w:highlight w:val="none"/>
        </w:rPr>
      </w:pPr>
      <w:r>
        <w:rPr>
          <w:sz w:val="32"/>
          <w:szCs w:val="32"/>
          <w:highlight w:val="none"/>
        </w:rPr>
        <w:t>代理机构：连云港徐圩港口安全环保科技有限公司</w:t>
      </w:r>
    </w:p>
    <w:p w14:paraId="5F8C171E">
      <w:pPr>
        <w:spacing w:line="360" w:lineRule="auto"/>
        <w:ind w:firstLine="1280" w:firstLineChars="400"/>
        <w:jc w:val="left"/>
        <w:rPr>
          <w:highlight w:val="none"/>
        </w:rPr>
      </w:pPr>
      <w:r>
        <w:rPr>
          <w:rFonts w:eastAsiaTheme="majorEastAsia"/>
          <w:sz w:val="32"/>
          <w:szCs w:val="32"/>
          <w:highlight w:val="none"/>
        </w:rPr>
        <w:t>日</w:t>
      </w:r>
      <w:r>
        <w:rPr>
          <w:rFonts w:hint="eastAsia" w:eastAsiaTheme="majorEastAsia"/>
          <w:sz w:val="32"/>
          <w:szCs w:val="32"/>
          <w:highlight w:val="none"/>
        </w:rPr>
        <w:t xml:space="preserve">    </w:t>
      </w:r>
      <w:r>
        <w:rPr>
          <w:rFonts w:eastAsiaTheme="majorEastAsia"/>
          <w:sz w:val="32"/>
          <w:szCs w:val="32"/>
          <w:highlight w:val="none"/>
        </w:rPr>
        <w:t>期：202</w:t>
      </w:r>
      <w:r>
        <w:rPr>
          <w:rFonts w:hint="eastAsia" w:eastAsiaTheme="majorEastAsia"/>
          <w:sz w:val="32"/>
          <w:szCs w:val="32"/>
          <w:highlight w:val="none"/>
          <w:lang w:val="en-US" w:eastAsia="zh-CN"/>
        </w:rPr>
        <w:t>6</w:t>
      </w:r>
      <w:r>
        <w:rPr>
          <w:rFonts w:eastAsiaTheme="majorEastAsia"/>
          <w:sz w:val="32"/>
          <w:szCs w:val="32"/>
          <w:highlight w:val="none"/>
        </w:rPr>
        <w:t>年</w:t>
      </w:r>
      <w:r>
        <w:rPr>
          <w:rFonts w:hint="eastAsia" w:eastAsiaTheme="majorEastAsia"/>
          <w:sz w:val="32"/>
          <w:szCs w:val="32"/>
          <w:highlight w:val="none"/>
          <w:lang w:val="en-US" w:eastAsia="zh-CN"/>
        </w:rPr>
        <w:t>3</w:t>
      </w:r>
      <w:r>
        <w:rPr>
          <w:rFonts w:eastAsiaTheme="majorEastAsia"/>
          <w:sz w:val="32"/>
          <w:szCs w:val="32"/>
          <w:highlight w:val="none"/>
        </w:rPr>
        <w:t>月</w:t>
      </w:r>
    </w:p>
    <w:p w14:paraId="1C5FD04A">
      <w:pPr>
        <w:spacing w:line="240" w:lineRule="auto"/>
        <w:ind w:firstLine="0" w:firstLineChars="0"/>
        <w:jc w:val="center"/>
        <w:rPr>
          <w:b/>
          <w:bCs/>
          <w:sz w:val="44"/>
          <w:szCs w:val="44"/>
          <w:highlight w:val="none"/>
        </w:rPr>
        <w:sectPr>
          <w:headerReference r:id="rId7" w:type="first"/>
          <w:footerReference r:id="rId10" w:type="first"/>
          <w:headerReference r:id="rId5" w:type="default"/>
          <w:footerReference r:id="rId8" w:type="default"/>
          <w:headerReference r:id="rId6" w:type="even"/>
          <w:footerReference r:id="rId9" w:type="even"/>
          <w:pgSz w:w="11907" w:h="16840"/>
          <w:pgMar w:top="1440" w:right="1797" w:bottom="1440" w:left="1797" w:header="851" w:footer="851" w:gutter="0"/>
          <w:cols w:space="0" w:num="1"/>
          <w:titlePg/>
          <w:docGrid w:linePitch="312" w:charSpace="0"/>
        </w:sectPr>
      </w:pPr>
    </w:p>
    <w:p w14:paraId="22C65A10">
      <w:pPr>
        <w:spacing w:line="240" w:lineRule="auto"/>
        <w:ind w:firstLine="0" w:firstLineChars="0"/>
        <w:jc w:val="center"/>
        <w:rPr>
          <w:b/>
          <w:bCs/>
          <w:sz w:val="44"/>
          <w:szCs w:val="44"/>
          <w:highlight w:val="none"/>
        </w:rPr>
      </w:pPr>
      <w:r>
        <w:rPr>
          <w:b/>
          <w:bCs/>
          <w:sz w:val="44"/>
          <w:szCs w:val="44"/>
          <w:highlight w:val="none"/>
        </w:rPr>
        <w:t>目  录</w:t>
      </w:r>
    </w:p>
    <w:p w14:paraId="596EE5A1">
      <w:pPr>
        <w:pStyle w:val="35"/>
        <w:tabs>
          <w:tab w:val="right" w:leader="dot" w:pos="8313"/>
        </w:tabs>
      </w:pPr>
      <w:r>
        <w:rPr>
          <w:rFonts w:ascii="Times New Roman" w:hAnsi="Times New Roman" w:cs="Times New Roman"/>
          <w:b w:val="0"/>
          <w:bCs w:val="0"/>
          <w:caps w:val="0"/>
          <w:sz w:val="21"/>
          <w:szCs w:val="21"/>
          <w:highlight w:val="none"/>
        </w:rPr>
        <w:fldChar w:fldCharType="begin"/>
      </w:r>
      <w:r>
        <w:rPr>
          <w:rFonts w:ascii="Times New Roman" w:hAnsi="Times New Roman" w:cs="Times New Roman"/>
          <w:b w:val="0"/>
          <w:bCs w:val="0"/>
          <w:caps w:val="0"/>
          <w:sz w:val="21"/>
          <w:szCs w:val="21"/>
          <w:highlight w:val="none"/>
        </w:rPr>
        <w:instrText xml:space="preserve"> TOC \o "1-3" \h \z \u </w:instrText>
      </w:r>
      <w:r>
        <w:rPr>
          <w:rFonts w:ascii="Times New Roman" w:hAnsi="Times New Roman" w:cs="Times New Roman"/>
          <w:b w:val="0"/>
          <w:bCs w:val="0"/>
          <w:caps w:val="0"/>
          <w:sz w:val="21"/>
          <w:szCs w:val="21"/>
          <w:highlight w:val="none"/>
        </w:rPr>
        <w:fldChar w:fldCharType="separate"/>
      </w:r>
      <w:r>
        <w:rPr>
          <w:bCs/>
          <w:szCs w:val="21"/>
          <w:highlight w:val="none"/>
        </w:rPr>
        <w:fldChar w:fldCharType="begin"/>
      </w:r>
      <w:r>
        <w:rPr>
          <w:bCs/>
          <w:szCs w:val="21"/>
          <w:highlight w:val="none"/>
        </w:rPr>
        <w:instrText xml:space="preserve"> HYPERLINK \l _Toc32232 </w:instrText>
      </w:r>
      <w:r>
        <w:rPr>
          <w:bCs/>
          <w:szCs w:val="21"/>
          <w:highlight w:val="none"/>
        </w:rPr>
        <w:fldChar w:fldCharType="separate"/>
      </w:r>
      <w:r>
        <w:rPr>
          <w:rFonts w:hint="eastAsia" w:ascii="Times New Roman" w:hAnsi="Times New Roman" w:eastAsiaTheme="majorEastAsia"/>
          <w:bCs/>
          <w:kern w:val="2"/>
          <w:szCs w:val="36"/>
          <w:highlight w:val="none"/>
        </w:rPr>
        <w:t xml:space="preserve">第一章 </w:t>
      </w:r>
      <w:r>
        <w:rPr>
          <w:rFonts w:ascii="Times New Roman" w:hAnsi="Times New Roman" w:eastAsiaTheme="majorEastAsia"/>
          <w:bCs/>
          <w:kern w:val="2"/>
          <w:szCs w:val="36"/>
          <w:highlight w:val="none"/>
        </w:rPr>
        <w:t>竞争性谈判公告</w:t>
      </w:r>
      <w:r>
        <w:tab/>
      </w:r>
      <w:r>
        <w:fldChar w:fldCharType="begin"/>
      </w:r>
      <w:r>
        <w:instrText xml:space="preserve"> PAGEREF _Toc32232 \h </w:instrText>
      </w:r>
      <w:r>
        <w:fldChar w:fldCharType="separate"/>
      </w:r>
      <w:r>
        <w:t>3</w:t>
      </w:r>
      <w:r>
        <w:fldChar w:fldCharType="end"/>
      </w:r>
      <w:r>
        <w:rPr>
          <w:bCs/>
          <w:szCs w:val="21"/>
          <w:highlight w:val="none"/>
        </w:rPr>
        <w:fldChar w:fldCharType="end"/>
      </w:r>
    </w:p>
    <w:p w14:paraId="683C1256">
      <w:pPr>
        <w:pStyle w:val="35"/>
        <w:tabs>
          <w:tab w:val="right" w:leader="dot" w:pos="8313"/>
        </w:tabs>
      </w:pPr>
      <w:r>
        <w:rPr>
          <w:bCs/>
          <w:szCs w:val="21"/>
          <w:highlight w:val="none"/>
        </w:rPr>
        <w:fldChar w:fldCharType="begin"/>
      </w:r>
      <w:r>
        <w:rPr>
          <w:bCs/>
          <w:szCs w:val="21"/>
          <w:highlight w:val="none"/>
        </w:rPr>
        <w:instrText xml:space="preserve"> HYPERLINK \l _Toc168 </w:instrText>
      </w:r>
      <w:r>
        <w:rPr>
          <w:bCs/>
          <w:szCs w:val="21"/>
          <w:highlight w:val="none"/>
        </w:rPr>
        <w:fldChar w:fldCharType="separate"/>
      </w:r>
      <w:r>
        <w:rPr>
          <w:rFonts w:ascii="Times New Roman" w:hAnsi="Times New Roman" w:eastAsiaTheme="majorEastAsia"/>
          <w:bCs/>
          <w:kern w:val="2"/>
          <w:szCs w:val="36"/>
          <w:highlight w:val="none"/>
        </w:rPr>
        <w:t>第二章 供应商须知</w:t>
      </w:r>
      <w:r>
        <w:tab/>
      </w:r>
      <w:r>
        <w:fldChar w:fldCharType="begin"/>
      </w:r>
      <w:r>
        <w:instrText xml:space="preserve"> PAGEREF _Toc168 \h </w:instrText>
      </w:r>
      <w:r>
        <w:fldChar w:fldCharType="separate"/>
      </w:r>
      <w:r>
        <w:t>8</w:t>
      </w:r>
      <w:r>
        <w:fldChar w:fldCharType="end"/>
      </w:r>
      <w:r>
        <w:rPr>
          <w:bCs/>
          <w:szCs w:val="21"/>
          <w:highlight w:val="none"/>
        </w:rPr>
        <w:fldChar w:fldCharType="end"/>
      </w:r>
    </w:p>
    <w:p w14:paraId="3C7D6718">
      <w:pPr>
        <w:pStyle w:val="3"/>
        <w:tabs>
          <w:tab w:val="right" w:leader="dot" w:pos="8313"/>
        </w:tabs>
      </w:pPr>
      <w:r>
        <w:rPr>
          <w:bCs/>
          <w:szCs w:val="21"/>
          <w:highlight w:val="none"/>
        </w:rPr>
        <w:fldChar w:fldCharType="begin"/>
      </w:r>
      <w:r>
        <w:rPr>
          <w:bCs/>
          <w:szCs w:val="21"/>
          <w:highlight w:val="none"/>
        </w:rPr>
        <w:instrText xml:space="preserve"> HYPERLINK \l _Toc27067 </w:instrText>
      </w:r>
      <w:r>
        <w:rPr>
          <w:bCs/>
          <w:szCs w:val="21"/>
          <w:highlight w:val="none"/>
        </w:rPr>
        <w:fldChar w:fldCharType="separate"/>
      </w:r>
      <w:r>
        <w:rPr>
          <w:rFonts w:ascii="Times New Roman" w:hAnsi="Times New Roman" w:eastAsiaTheme="minorEastAsia"/>
          <w:szCs w:val="30"/>
          <w:highlight w:val="none"/>
        </w:rPr>
        <w:t>供应商须知</w:t>
      </w:r>
      <w:r>
        <w:tab/>
      </w:r>
      <w:r>
        <w:fldChar w:fldCharType="begin"/>
      </w:r>
      <w:r>
        <w:instrText xml:space="preserve"> PAGEREF _Toc27067 \h </w:instrText>
      </w:r>
      <w:r>
        <w:fldChar w:fldCharType="separate"/>
      </w:r>
      <w:r>
        <w:t>15</w:t>
      </w:r>
      <w:r>
        <w:fldChar w:fldCharType="end"/>
      </w:r>
      <w:r>
        <w:rPr>
          <w:bCs/>
          <w:szCs w:val="21"/>
          <w:highlight w:val="none"/>
        </w:rPr>
        <w:fldChar w:fldCharType="end"/>
      </w:r>
    </w:p>
    <w:p w14:paraId="5AB7DB4F">
      <w:pPr>
        <w:pStyle w:val="3"/>
        <w:tabs>
          <w:tab w:val="right" w:leader="dot" w:pos="8313"/>
        </w:tabs>
      </w:pPr>
      <w:r>
        <w:rPr>
          <w:bCs/>
          <w:szCs w:val="21"/>
          <w:highlight w:val="none"/>
        </w:rPr>
        <w:fldChar w:fldCharType="begin"/>
      </w:r>
      <w:r>
        <w:rPr>
          <w:bCs/>
          <w:szCs w:val="21"/>
          <w:highlight w:val="none"/>
        </w:rPr>
        <w:instrText xml:space="preserve"> HYPERLINK \l _Toc5501 </w:instrText>
      </w:r>
      <w:r>
        <w:rPr>
          <w:bCs/>
          <w:szCs w:val="21"/>
          <w:highlight w:val="none"/>
        </w:rPr>
        <w:fldChar w:fldCharType="separate"/>
      </w:r>
      <w:r>
        <w:rPr>
          <w:rFonts w:ascii="Times New Roman" w:hAnsi="Times New Roman" w:eastAsiaTheme="minorEastAsia"/>
          <w:szCs w:val="21"/>
          <w:highlight w:val="none"/>
        </w:rPr>
        <w:t>一、总则</w:t>
      </w:r>
      <w:r>
        <w:tab/>
      </w:r>
      <w:r>
        <w:fldChar w:fldCharType="begin"/>
      </w:r>
      <w:r>
        <w:instrText xml:space="preserve"> PAGEREF _Toc5501 \h </w:instrText>
      </w:r>
      <w:r>
        <w:fldChar w:fldCharType="separate"/>
      </w:r>
      <w:r>
        <w:t>15</w:t>
      </w:r>
      <w:r>
        <w:fldChar w:fldCharType="end"/>
      </w:r>
      <w:r>
        <w:rPr>
          <w:bCs/>
          <w:szCs w:val="21"/>
          <w:highlight w:val="none"/>
        </w:rPr>
        <w:fldChar w:fldCharType="end"/>
      </w:r>
    </w:p>
    <w:p w14:paraId="18C393BA">
      <w:pPr>
        <w:pStyle w:val="3"/>
        <w:tabs>
          <w:tab w:val="right" w:leader="dot" w:pos="8313"/>
        </w:tabs>
      </w:pPr>
      <w:r>
        <w:rPr>
          <w:bCs/>
          <w:szCs w:val="21"/>
          <w:highlight w:val="none"/>
        </w:rPr>
        <w:fldChar w:fldCharType="begin"/>
      </w:r>
      <w:r>
        <w:rPr>
          <w:bCs/>
          <w:szCs w:val="21"/>
          <w:highlight w:val="none"/>
        </w:rPr>
        <w:instrText xml:space="preserve"> HYPERLINK \l _Toc27767 </w:instrText>
      </w:r>
      <w:r>
        <w:rPr>
          <w:bCs/>
          <w:szCs w:val="21"/>
          <w:highlight w:val="none"/>
        </w:rPr>
        <w:fldChar w:fldCharType="separate"/>
      </w:r>
      <w:r>
        <w:rPr>
          <w:rFonts w:ascii="Times New Roman" w:hAnsi="Times New Roman" w:eastAsiaTheme="minorEastAsia"/>
          <w:szCs w:val="21"/>
          <w:highlight w:val="none"/>
        </w:rPr>
        <w:t>二、谈判文件</w:t>
      </w:r>
      <w:r>
        <w:tab/>
      </w:r>
      <w:r>
        <w:fldChar w:fldCharType="begin"/>
      </w:r>
      <w:r>
        <w:instrText xml:space="preserve"> PAGEREF _Toc27767 \h </w:instrText>
      </w:r>
      <w:r>
        <w:fldChar w:fldCharType="separate"/>
      </w:r>
      <w:r>
        <w:t>16</w:t>
      </w:r>
      <w:r>
        <w:fldChar w:fldCharType="end"/>
      </w:r>
      <w:r>
        <w:rPr>
          <w:bCs/>
          <w:szCs w:val="21"/>
          <w:highlight w:val="none"/>
        </w:rPr>
        <w:fldChar w:fldCharType="end"/>
      </w:r>
    </w:p>
    <w:p w14:paraId="7DFB9C75">
      <w:pPr>
        <w:pStyle w:val="3"/>
        <w:tabs>
          <w:tab w:val="right" w:leader="dot" w:pos="8313"/>
        </w:tabs>
      </w:pPr>
      <w:r>
        <w:rPr>
          <w:bCs/>
          <w:szCs w:val="21"/>
          <w:highlight w:val="none"/>
        </w:rPr>
        <w:fldChar w:fldCharType="begin"/>
      </w:r>
      <w:r>
        <w:rPr>
          <w:bCs/>
          <w:szCs w:val="21"/>
          <w:highlight w:val="none"/>
        </w:rPr>
        <w:instrText xml:space="preserve"> HYPERLINK \l _Toc27443 </w:instrText>
      </w:r>
      <w:r>
        <w:rPr>
          <w:bCs/>
          <w:szCs w:val="21"/>
          <w:highlight w:val="none"/>
        </w:rPr>
        <w:fldChar w:fldCharType="separate"/>
      </w:r>
      <w:r>
        <w:rPr>
          <w:rFonts w:ascii="Times New Roman" w:hAnsi="Times New Roman" w:eastAsiaTheme="minorEastAsia"/>
          <w:szCs w:val="21"/>
          <w:highlight w:val="none"/>
        </w:rPr>
        <w:t>三、响应文件</w:t>
      </w:r>
      <w:r>
        <w:tab/>
      </w:r>
      <w:r>
        <w:fldChar w:fldCharType="begin"/>
      </w:r>
      <w:r>
        <w:instrText xml:space="preserve"> PAGEREF _Toc27443 \h </w:instrText>
      </w:r>
      <w:r>
        <w:fldChar w:fldCharType="separate"/>
      </w:r>
      <w:r>
        <w:t>17</w:t>
      </w:r>
      <w:r>
        <w:fldChar w:fldCharType="end"/>
      </w:r>
      <w:r>
        <w:rPr>
          <w:bCs/>
          <w:szCs w:val="21"/>
          <w:highlight w:val="none"/>
        </w:rPr>
        <w:fldChar w:fldCharType="end"/>
      </w:r>
    </w:p>
    <w:p w14:paraId="4531CE3F">
      <w:pPr>
        <w:pStyle w:val="3"/>
        <w:tabs>
          <w:tab w:val="right" w:leader="dot" w:pos="8313"/>
        </w:tabs>
      </w:pPr>
      <w:r>
        <w:rPr>
          <w:bCs/>
          <w:szCs w:val="21"/>
          <w:highlight w:val="none"/>
        </w:rPr>
        <w:fldChar w:fldCharType="begin"/>
      </w:r>
      <w:r>
        <w:rPr>
          <w:bCs/>
          <w:szCs w:val="21"/>
          <w:highlight w:val="none"/>
        </w:rPr>
        <w:instrText xml:space="preserve"> HYPERLINK \l _Toc27824 </w:instrText>
      </w:r>
      <w:r>
        <w:rPr>
          <w:bCs/>
          <w:szCs w:val="21"/>
          <w:highlight w:val="none"/>
        </w:rPr>
        <w:fldChar w:fldCharType="separate"/>
      </w:r>
      <w:r>
        <w:rPr>
          <w:rFonts w:ascii="Times New Roman" w:hAnsi="Times New Roman" w:eastAsiaTheme="minorEastAsia"/>
          <w:szCs w:val="21"/>
          <w:highlight w:val="none"/>
        </w:rPr>
        <w:t>四、响应文件的递交、修改与撤回</w:t>
      </w:r>
      <w:r>
        <w:tab/>
      </w:r>
      <w:r>
        <w:fldChar w:fldCharType="begin"/>
      </w:r>
      <w:r>
        <w:instrText xml:space="preserve"> PAGEREF _Toc27824 \h </w:instrText>
      </w:r>
      <w:r>
        <w:fldChar w:fldCharType="separate"/>
      </w:r>
      <w:r>
        <w:t>19</w:t>
      </w:r>
      <w:r>
        <w:fldChar w:fldCharType="end"/>
      </w:r>
      <w:r>
        <w:rPr>
          <w:bCs/>
          <w:szCs w:val="21"/>
          <w:highlight w:val="none"/>
        </w:rPr>
        <w:fldChar w:fldCharType="end"/>
      </w:r>
    </w:p>
    <w:p w14:paraId="73F4FDB7">
      <w:pPr>
        <w:pStyle w:val="3"/>
        <w:tabs>
          <w:tab w:val="right" w:leader="dot" w:pos="8313"/>
        </w:tabs>
      </w:pPr>
      <w:r>
        <w:rPr>
          <w:bCs/>
          <w:szCs w:val="21"/>
          <w:highlight w:val="none"/>
        </w:rPr>
        <w:fldChar w:fldCharType="begin"/>
      </w:r>
      <w:r>
        <w:rPr>
          <w:bCs/>
          <w:szCs w:val="21"/>
          <w:highlight w:val="none"/>
        </w:rPr>
        <w:instrText xml:space="preserve"> HYPERLINK \l _Toc5399 </w:instrText>
      </w:r>
      <w:r>
        <w:rPr>
          <w:bCs/>
          <w:szCs w:val="21"/>
          <w:highlight w:val="none"/>
        </w:rPr>
        <w:fldChar w:fldCharType="separate"/>
      </w:r>
      <w:r>
        <w:rPr>
          <w:rFonts w:ascii="Times New Roman" w:hAnsi="Times New Roman" w:eastAsiaTheme="minorEastAsia"/>
          <w:szCs w:val="21"/>
          <w:highlight w:val="none"/>
        </w:rPr>
        <w:t>五、谈判与评审</w:t>
      </w:r>
      <w:r>
        <w:tab/>
      </w:r>
      <w:r>
        <w:fldChar w:fldCharType="begin"/>
      </w:r>
      <w:r>
        <w:instrText xml:space="preserve"> PAGEREF _Toc5399 \h </w:instrText>
      </w:r>
      <w:r>
        <w:fldChar w:fldCharType="separate"/>
      </w:r>
      <w:r>
        <w:t>19</w:t>
      </w:r>
      <w:r>
        <w:fldChar w:fldCharType="end"/>
      </w:r>
      <w:r>
        <w:rPr>
          <w:bCs/>
          <w:szCs w:val="21"/>
          <w:highlight w:val="none"/>
        </w:rPr>
        <w:fldChar w:fldCharType="end"/>
      </w:r>
    </w:p>
    <w:p w14:paraId="5ECFCDFC">
      <w:pPr>
        <w:pStyle w:val="3"/>
        <w:tabs>
          <w:tab w:val="right" w:leader="dot" w:pos="8313"/>
        </w:tabs>
      </w:pPr>
      <w:r>
        <w:rPr>
          <w:bCs/>
          <w:szCs w:val="21"/>
          <w:highlight w:val="none"/>
        </w:rPr>
        <w:fldChar w:fldCharType="begin"/>
      </w:r>
      <w:r>
        <w:rPr>
          <w:bCs/>
          <w:szCs w:val="21"/>
          <w:highlight w:val="none"/>
        </w:rPr>
        <w:instrText xml:space="preserve"> HYPERLINK \l _Toc25466 </w:instrText>
      </w:r>
      <w:r>
        <w:rPr>
          <w:bCs/>
          <w:szCs w:val="21"/>
          <w:highlight w:val="none"/>
        </w:rPr>
        <w:fldChar w:fldCharType="separate"/>
      </w:r>
      <w:r>
        <w:rPr>
          <w:rFonts w:ascii="Times New Roman" w:hAnsi="Times New Roman" w:eastAsiaTheme="minorEastAsia"/>
          <w:szCs w:val="21"/>
          <w:highlight w:val="none"/>
        </w:rPr>
        <w:t>六、成交结果公示</w:t>
      </w:r>
      <w:r>
        <w:tab/>
      </w:r>
      <w:r>
        <w:fldChar w:fldCharType="begin"/>
      </w:r>
      <w:r>
        <w:instrText xml:space="preserve"> PAGEREF _Toc25466 \h </w:instrText>
      </w:r>
      <w:r>
        <w:fldChar w:fldCharType="separate"/>
      </w:r>
      <w:r>
        <w:t>20</w:t>
      </w:r>
      <w:r>
        <w:fldChar w:fldCharType="end"/>
      </w:r>
      <w:r>
        <w:rPr>
          <w:bCs/>
          <w:szCs w:val="21"/>
          <w:highlight w:val="none"/>
        </w:rPr>
        <w:fldChar w:fldCharType="end"/>
      </w:r>
    </w:p>
    <w:p w14:paraId="277061D6">
      <w:pPr>
        <w:pStyle w:val="3"/>
        <w:tabs>
          <w:tab w:val="right" w:leader="dot" w:pos="8313"/>
        </w:tabs>
      </w:pPr>
      <w:r>
        <w:rPr>
          <w:bCs/>
          <w:szCs w:val="21"/>
          <w:highlight w:val="none"/>
        </w:rPr>
        <w:fldChar w:fldCharType="begin"/>
      </w:r>
      <w:r>
        <w:rPr>
          <w:bCs/>
          <w:szCs w:val="21"/>
          <w:highlight w:val="none"/>
        </w:rPr>
        <w:instrText xml:space="preserve"> HYPERLINK \l _Toc30460 </w:instrText>
      </w:r>
      <w:r>
        <w:rPr>
          <w:bCs/>
          <w:szCs w:val="21"/>
          <w:highlight w:val="none"/>
        </w:rPr>
        <w:fldChar w:fldCharType="separate"/>
      </w:r>
      <w:r>
        <w:rPr>
          <w:rFonts w:ascii="Times New Roman" w:hAnsi="Times New Roman" w:eastAsiaTheme="minorEastAsia"/>
          <w:szCs w:val="21"/>
          <w:highlight w:val="none"/>
        </w:rPr>
        <w:t>七、合同授予</w:t>
      </w:r>
      <w:r>
        <w:tab/>
      </w:r>
      <w:r>
        <w:fldChar w:fldCharType="begin"/>
      </w:r>
      <w:r>
        <w:instrText xml:space="preserve"> PAGEREF _Toc30460 \h </w:instrText>
      </w:r>
      <w:r>
        <w:fldChar w:fldCharType="separate"/>
      </w:r>
      <w:r>
        <w:t>20</w:t>
      </w:r>
      <w:r>
        <w:fldChar w:fldCharType="end"/>
      </w:r>
      <w:r>
        <w:rPr>
          <w:bCs/>
          <w:szCs w:val="21"/>
          <w:highlight w:val="none"/>
        </w:rPr>
        <w:fldChar w:fldCharType="end"/>
      </w:r>
    </w:p>
    <w:p w14:paraId="75DA4630">
      <w:pPr>
        <w:pStyle w:val="3"/>
        <w:tabs>
          <w:tab w:val="right" w:leader="dot" w:pos="8313"/>
        </w:tabs>
      </w:pPr>
      <w:r>
        <w:rPr>
          <w:bCs/>
          <w:szCs w:val="21"/>
          <w:highlight w:val="none"/>
        </w:rPr>
        <w:fldChar w:fldCharType="begin"/>
      </w:r>
      <w:r>
        <w:rPr>
          <w:bCs/>
          <w:szCs w:val="21"/>
          <w:highlight w:val="none"/>
        </w:rPr>
        <w:instrText xml:space="preserve"> HYPERLINK \l _Toc35 </w:instrText>
      </w:r>
      <w:r>
        <w:rPr>
          <w:bCs/>
          <w:szCs w:val="21"/>
          <w:highlight w:val="none"/>
        </w:rPr>
        <w:fldChar w:fldCharType="separate"/>
      </w:r>
      <w:r>
        <w:rPr>
          <w:rFonts w:ascii="Times New Roman" w:hAnsi="Times New Roman" w:eastAsiaTheme="minorEastAsia"/>
          <w:szCs w:val="21"/>
          <w:highlight w:val="none"/>
        </w:rPr>
        <w:t>八、纪律和监督</w:t>
      </w:r>
      <w:r>
        <w:tab/>
      </w:r>
      <w:r>
        <w:fldChar w:fldCharType="begin"/>
      </w:r>
      <w:r>
        <w:instrText xml:space="preserve"> PAGEREF _Toc35 \h </w:instrText>
      </w:r>
      <w:r>
        <w:fldChar w:fldCharType="separate"/>
      </w:r>
      <w:r>
        <w:t>21</w:t>
      </w:r>
      <w:r>
        <w:fldChar w:fldCharType="end"/>
      </w:r>
      <w:r>
        <w:rPr>
          <w:bCs/>
          <w:szCs w:val="21"/>
          <w:highlight w:val="none"/>
        </w:rPr>
        <w:fldChar w:fldCharType="end"/>
      </w:r>
    </w:p>
    <w:p w14:paraId="00484B4C">
      <w:pPr>
        <w:pStyle w:val="3"/>
        <w:tabs>
          <w:tab w:val="right" w:leader="dot" w:pos="8313"/>
        </w:tabs>
      </w:pPr>
      <w:r>
        <w:rPr>
          <w:bCs/>
          <w:szCs w:val="21"/>
          <w:highlight w:val="none"/>
        </w:rPr>
        <w:fldChar w:fldCharType="begin"/>
      </w:r>
      <w:r>
        <w:rPr>
          <w:bCs/>
          <w:szCs w:val="21"/>
          <w:highlight w:val="none"/>
        </w:rPr>
        <w:instrText xml:space="preserve"> HYPERLINK \l _Toc6812 </w:instrText>
      </w:r>
      <w:r>
        <w:rPr>
          <w:bCs/>
          <w:szCs w:val="21"/>
          <w:highlight w:val="none"/>
        </w:rPr>
        <w:fldChar w:fldCharType="separate"/>
      </w:r>
      <w:r>
        <w:rPr>
          <w:rFonts w:ascii="Times New Roman" w:hAnsi="Times New Roman" w:eastAsiaTheme="minorEastAsia"/>
          <w:szCs w:val="21"/>
          <w:highlight w:val="none"/>
        </w:rPr>
        <w:t>九、解释权</w:t>
      </w:r>
      <w:r>
        <w:tab/>
      </w:r>
      <w:r>
        <w:fldChar w:fldCharType="begin"/>
      </w:r>
      <w:r>
        <w:instrText xml:space="preserve"> PAGEREF _Toc6812 \h </w:instrText>
      </w:r>
      <w:r>
        <w:fldChar w:fldCharType="separate"/>
      </w:r>
      <w:r>
        <w:t>23</w:t>
      </w:r>
      <w:r>
        <w:fldChar w:fldCharType="end"/>
      </w:r>
      <w:r>
        <w:rPr>
          <w:bCs/>
          <w:szCs w:val="21"/>
          <w:highlight w:val="none"/>
        </w:rPr>
        <w:fldChar w:fldCharType="end"/>
      </w:r>
    </w:p>
    <w:p w14:paraId="37A51AEF">
      <w:pPr>
        <w:pStyle w:val="3"/>
        <w:tabs>
          <w:tab w:val="right" w:leader="dot" w:pos="8313"/>
        </w:tabs>
      </w:pPr>
      <w:r>
        <w:rPr>
          <w:bCs/>
          <w:szCs w:val="21"/>
          <w:highlight w:val="none"/>
        </w:rPr>
        <w:fldChar w:fldCharType="begin"/>
      </w:r>
      <w:r>
        <w:rPr>
          <w:bCs/>
          <w:szCs w:val="21"/>
          <w:highlight w:val="none"/>
        </w:rPr>
        <w:instrText xml:space="preserve"> HYPERLINK \l _Toc26263 </w:instrText>
      </w:r>
      <w:r>
        <w:rPr>
          <w:bCs/>
          <w:szCs w:val="21"/>
          <w:highlight w:val="none"/>
        </w:rPr>
        <w:fldChar w:fldCharType="separate"/>
      </w:r>
      <w:r>
        <w:rPr>
          <w:rFonts w:ascii="Times New Roman" w:hAnsi="Times New Roman" w:eastAsiaTheme="minorEastAsia"/>
          <w:szCs w:val="21"/>
          <w:highlight w:val="none"/>
        </w:rPr>
        <w:t>十、采购人补充的其他内容</w:t>
      </w:r>
      <w:r>
        <w:tab/>
      </w:r>
      <w:r>
        <w:fldChar w:fldCharType="begin"/>
      </w:r>
      <w:r>
        <w:instrText xml:space="preserve"> PAGEREF _Toc26263 \h </w:instrText>
      </w:r>
      <w:r>
        <w:fldChar w:fldCharType="separate"/>
      </w:r>
      <w:r>
        <w:t>23</w:t>
      </w:r>
      <w:r>
        <w:fldChar w:fldCharType="end"/>
      </w:r>
      <w:r>
        <w:rPr>
          <w:bCs/>
          <w:szCs w:val="21"/>
          <w:highlight w:val="none"/>
        </w:rPr>
        <w:fldChar w:fldCharType="end"/>
      </w:r>
    </w:p>
    <w:p w14:paraId="790253D0">
      <w:pPr>
        <w:pStyle w:val="35"/>
        <w:tabs>
          <w:tab w:val="right" w:leader="dot" w:pos="8313"/>
        </w:tabs>
      </w:pPr>
      <w:r>
        <w:rPr>
          <w:bCs/>
          <w:szCs w:val="21"/>
          <w:highlight w:val="none"/>
        </w:rPr>
        <w:fldChar w:fldCharType="begin"/>
      </w:r>
      <w:r>
        <w:rPr>
          <w:bCs/>
          <w:szCs w:val="21"/>
          <w:highlight w:val="none"/>
        </w:rPr>
        <w:instrText xml:space="preserve"> HYPERLINK \l _Toc14561 </w:instrText>
      </w:r>
      <w:r>
        <w:rPr>
          <w:bCs/>
          <w:szCs w:val="21"/>
          <w:highlight w:val="none"/>
        </w:rPr>
        <w:fldChar w:fldCharType="separate"/>
      </w:r>
      <w:r>
        <w:rPr>
          <w:rFonts w:ascii="Times New Roman" w:hAnsi="Times New Roman" w:eastAsiaTheme="majorEastAsia"/>
          <w:bCs/>
          <w:kern w:val="2"/>
          <w:szCs w:val="36"/>
          <w:highlight w:val="none"/>
        </w:rPr>
        <w:t>第三章 评审办法</w:t>
      </w:r>
      <w:r>
        <w:tab/>
      </w:r>
      <w:r>
        <w:fldChar w:fldCharType="begin"/>
      </w:r>
      <w:r>
        <w:instrText xml:space="preserve"> PAGEREF _Toc14561 \h </w:instrText>
      </w:r>
      <w:r>
        <w:fldChar w:fldCharType="separate"/>
      </w:r>
      <w:r>
        <w:t>24</w:t>
      </w:r>
      <w:r>
        <w:fldChar w:fldCharType="end"/>
      </w:r>
      <w:r>
        <w:rPr>
          <w:bCs/>
          <w:szCs w:val="21"/>
          <w:highlight w:val="none"/>
        </w:rPr>
        <w:fldChar w:fldCharType="end"/>
      </w:r>
    </w:p>
    <w:p w14:paraId="7620538B">
      <w:pPr>
        <w:pStyle w:val="3"/>
        <w:tabs>
          <w:tab w:val="right" w:leader="dot" w:pos="8313"/>
        </w:tabs>
      </w:pPr>
      <w:r>
        <w:rPr>
          <w:bCs/>
          <w:szCs w:val="21"/>
          <w:highlight w:val="none"/>
        </w:rPr>
        <w:fldChar w:fldCharType="begin"/>
      </w:r>
      <w:r>
        <w:rPr>
          <w:bCs/>
          <w:szCs w:val="21"/>
          <w:highlight w:val="none"/>
        </w:rPr>
        <w:instrText xml:space="preserve"> HYPERLINK \l _Toc17924 </w:instrText>
      </w:r>
      <w:r>
        <w:rPr>
          <w:bCs/>
          <w:szCs w:val="21"/>
          <w:highlight w:val="none"/>
        </w:rPr>
        <w:fldChar w:fldCharType="separate"/>
      </w:r>
      <w:r>
        <w:rPr>
          <w:rFonts w:ascii="Times New Roman" w:hAnsi="Times New Roman" w:eastAsiaTheme="minorEastAsia"/>
          <w:szCs w:val="21"/>
          <w:highlight w:val="none"/>
        </w:rPr>
        <w:t>一、评审方法</w:t>
      </w:r>
      <w:r>
        <w:tab/>
      </w:r>
      <w:r>
        <w:fldChar w:fldCharType="begin"/>
      </w:r>
      <w:r>
        <w:instrText xml:space="preserve"> PAGEREF _Toc17924 \h </w:instrText>
      </w:r>
      <w:r>
        <w:fldChar w:fldCharType="separate"/>
      </w:r>
      <w:r>
        <w:t>24</w:t>
      </w:r>
      <w:r>
        <w:fldChar w:fldCharType="end"/>
      </w:r>
      <w:r>
        <w:rPr>
          <w:bCs/>
          <w:szCs w:val="21"/>
          <w:highlight w:val="none"/>
        </w:rPr>
        <w:fldChar w:fldCharType="end"/>
      </w:r>
    </w:p>
    <w:p w14:paraId="7DB9E953">
      <w:pPr>
        <w:pStyle w:val="3"/>
        <w:tabs>
          <w:tab w:val="right" w:leader="dot" w:pos="8313"/>
        </w:tabs>
      </w:pPr>
      <w:r>
        <w:rPr>
          <w:bCs/>
          <w:szCs w:val="21"/>
          <w:highlight w:val="none"/>
        </w:rPr>
        <w:fldChar w:fldCharType="begin"/>
      </w:r>
      <w:r>
        <w:rPr>
          <w:bCs/>
          <w:szCs w:val="21"/>
          <w:highlight w:val="none"/>
        </w:rPr>
        <w:instrText xml:space="preserve"> HYPERLINK \l _Toc24195 </w:instrText>
      </w:r>
      <w:r>
        <w:rPr>
          <w:bCs/>
          <w:szCs w:val="21"/>
          <w:highlight w:val="none"/>
        </w:rPr>
        <w:fldChar w:fldCharType="separate"/>
      </w:r>
      <w:r>
        <w:rPr>
          <w:rFonts w:ascii="Times New Roman" w:hAnsi="Times New Roman" w:eastAsiaTheme="minorEastAsia"/>
          <w:szCs w:val="21"/>
          <w:highlight w:val="none"/>
        </w:rPr>
        <w:t>二、评审标准</w:t>
      </w:r>
      <w:r>
        <w:tab/>
      </w:r>
      <w:r>
        <w:fldChar w:fldCharType="begin"/>
      </w:r>
      <w:r>
        <w:instrText xml:space="preserve"> PAGEREF _Toc24195 \h </w:instrText>
      </w:r>
      <w:r>
        <w:fldChar w:fldCharType="separate"/>
      </w:r>
      <w:r>
        <w:t>24</w:t>
      </w:r>
      <w:r>
        <w:fldChar w:fldCharType="end"/>
      </w:r>
      <w:r>
        <w:rPr>
          <w:bCs/>
          <w:szCs w:val="21"/>
          <w:highlight w:val="none"/>
        </w:rPr>
        <w:fldChar w:fldCharType="end"/>
      </w:r>
    </w:p>
    <w:p w14:paraId="230CEF5B">
      <w:pPr>
        <w:pStyle w:val="3"/>
        <w:tabs>
          <w:tab w:val="right" w:leader="dot" w:pos="8313"/>
        </w:tabs>
      </w:pPr>
      <w:r>
        <w:rPr>
          <w:bCs/>
          <w:szCs w:val="21"/>
          <w:highlight w:val="none"/>
        </w:rPr>
        <w:fldChar w:fldCharType="begin"/>
      </w:r>
      <w:r>
        <w:rPr>
          <w:bCs/>
          <w:szCs w:val="21"/>
          <w:highlight w:val="none"/>
        </w:rPr>
        <w:instrText xml:space="preserve"> HYPERLINK \l _Toc3753 </w:instrText>
      </w:r>
      <w:r>
        <w:rPr>
          <w:bCs/>
          <w:szCs w:val="21"/>
          <w:highlight w:val="none"/>
        </w:rPr>
        <w:fldChar w:fldCharType="separate"/>
      </w:r>
      <w:r>
        <w:rPr>
          <w:rFonts w:ascii="Times New Roman" w:hAnsi="Times New Roman" w:eastAsiaTheme="minorEastAsia"/>
          <w:szCs w:val="21"/>
          <w:highlight w:val="none"/>
        </w:rPr>
        <w:t>三、评审程序</w:t>
      </w:r>
      <w:r>
        <w:tab/>
      </w:r>
      <w:r>
        <w:fldChar w:fldCharType="begin"/>
      </w:r>
      <w:r>
        <w:instrText xml:space="preserve"> PAGEREF _Toc3753 \h </w:instrText>
      </w:r>
      <w:r>
        <w:fldChar w:fldCharType="separate"/>
      </w:r>
      <w:r>
        <w:t>24</w:t>
      </w:r>
      <w:r>
        <w:fldChar w:fldCharType="end"/>
      </w:r>
      <w:r>
        <w:rPr>
          <w:bCs/>
          <w:szCs w:val="21"/>
          <w:highlight w:val="none"/>
        </w:rPr>
        <w:fldChar w:fldCharType="end"/>
      </w:r>
    </w:p>
    <w:p w14:paraId="361438F1">
      <w:pPr>
        <w:pStyle w:val="35"/>
        <w:tabs>
          <w:tab w:val="right" w:leader="dot" w:pos="8313"/>
        </w:tabs>
      </w:pPr>
      <w:r>
        <w:rPr>
          <w:bCs/>
          <w:szCs w:val="21"/>
          <w:highlight w:val="none"/>
        </w:rPr>
        <w:fldChar w:fldCharType="begin"/>
      </w:r>
      <w:r>
        <w:rPr>
          <w:bCs/>
          <w:szCs w:val="21"/>
          <w:highlight w:val="none"/>
        </w:rPr>
        <w:instrText xml:space="preserve"> HYPERLINK \l _Toc12948 </w:instrText>
      </w:r>
      <w:r>
        <w:rPr>
          <w:bCs/>
          <w:szCs w:val="21"/>
          <w:highlight w:val="none"/>
        </w:rPr>
        <w:fldChar w:fldCharType="separate"/>
      </w:r>
      <w:r>
        <w:rPr>
          <w:highlight w:val="none"/>
        </w:rPr>
        <w:t xml:space="preserve">第四章  </w:t>
      </w:r>
      <w:r>
        <w:rPr>
          <w:rFonts w:hint="eastAsia"/>
          <w:highlight w:val="none"/>
        </w:rPr>
        <w:t xml:space="preserve"> 任务书</w:t>
      </w:r>
      <w:r>
        <w:tab/>
      </w:r>
      <w:r>
        <w:fldChar w:fldCharType="begin"/>
      </w:r>
      <w:r>
        <w:instrText xml:space="preserve"> PAGEREF _Toc12948 \h </w:instrText>
      </w:r>
      <w:r>
        <w:fldChar w:fldCharType="separate"/>
      </w:r>
      <w:r>
        <w:t>28</w:t>
      </w:r>
      <w:r>
        <w:fldChar w:fldCharType="end"/>
      </w:r>
      <w:r>
        <w:rPr>
          <w:bCs/>
          <w:szCs w:val="21"/>
          <w:highlight w:val="none"/>
        </w:rPr>
        <w:fldChar w:fldCharType="end"/>
      </w:r>
    </w:p>
    <w:p w14:paraId="0A582DFD">
      <w:pPr>
        <w:pStyle w:val="35"/>
        <w:tabs>
          <w:tab w:val="right" w:leader="dot" w:pos="8313"/>
        </w:tabs>
      </w:pPr>
      <w:bookmarkStart w:id="325" w:name="_GoBack"/>
      <w:bookmarkEnd w:id="325"/>
      <w:r>
        <w:rPr>
          <w:bCs/>
          <w:szCs w:val="21"/>
          <w:highlight w:val="none"/>
        </w:rPr>
        <w:fldChar w:fldCharType="begin"/>
      </w:r>
      <w:r>
        <w:rPr>
          <w:bCs/>
          <w:szCs w:val="21"/>
          <w:highlight w:val="none"/>
        </w:rPr>
        <w:instrText xml:space="preserve"> HYPERLINK \l _Toc27460 </w:instrText>
      </w:r>
      <w:r>
        <w:rPr>
          <w:bCs/>
          <w:szCs w:val="21"/>
          <w:highlight w:val="none"/>
        </w:rPr>
        <w:fldChar w:fldCharType="separate"/>
      </w:r>
      <w:r>
        <w:rPr>
          <w:rFonts w:hint="eastAsia"/>
          <w:highlight w:val="none"/>
        </w:rPr>
        <w:t xml:space="preserve">第五章  </w:t>
      </w:r>
      <w:r>
        <w:rPr>
          <w:highlight w:val="none"/>
        </w:rPr>
        <w:t>合同条款及格式</w:t>
      </w:r>
      <w:r>
        <w:tab/>
      </w:r>
      <w:r>
        <w:fldChar w:fldCharType="begin"/>
      </w:r>
      <w:r>
        <w:instrText xml:space="preserve"> PAGEREF _Toc27460 \h </w:instrText>
      </w:r>
      <w:r>
        <w:fldChar w:fldCharType="separate"/>
      </w:r>
      <w:r>
        <w:t>38</w:t>
      </w:r>
      <w:r>
        <w:fldChar w:fldCharType="end"/>
      </w:r>
      <w:r>
        <w:rPr>
          <w:bCs/>
          <w:szCs w:val="21"/>
          <w:highlight w:val="none"/>
        </w:rPr>
        <w:fldChar w:fldCharType="end"/>
      </w:r>
    </w:p>
    <w:p w14:paraId="0AD26ADB">
      <w:pPr>
        <w:pStyle w:val="35"/>
        <w:tabs>
          <w:tab w:val="right" w:leader="dot" w:pos="8313"/>
        </w:tabs>
      </w:pPr>
      <w:r>
        <w:rPr>
          <w:bCs/>
          <w:szCs w:val="21"/>
          <w:highlight w:val="none"/>
        </w:rPr>
        <w:fldChar w:fldCharType="begin"/>
      </w:r>
      <w:r>
        <w:rPr>
          <w:bCs/>
          <w:szCs w:val="21"/>
          <w:highlight w:val="none"/>
        </w:rPr>
        <w:instrText xml:space="preserve"> HYPERLINK \l _Toc14220 </w:instrText>
      </w:r>
      <w:r>
        <w:rPr>
          <w:bCs/>
          <w:szCs w:val="21"/>
          <w:highlight w:val="none"/>
        </w:rPr>
        <w:fldChar w:fldCharType="separate"/>
      </w:r>
      <w:r>
        <w:rPr>
          <w:rFonts w:ascii="Times New Roman" w:hAnsi="Times New Roman" w:eastAsiaTheme="majorEastAsia"/>
          <w:bCs/>
          <w:kern w:val="2"/>
          <w:szCs w:val="36"/>
          <w:highlight w:val="none"/>
        </w:rPr>
        <w:t>第</w:t>
      </w:r>
      <w:r>
        <w:rPr>
          <w:rFonts w:hint="eastAsia" w:ascii="Times New Roman" w:hAnsi="Times New Roman" w:eastAsiaTheme="majorEastAsia"/>
          <w:bCs/>
          <w:kern w:val="2"/>
          <w:szCs w:val="36"/>
          <w:highlight w:val="none"/>
        </w:rPr>
        <w:t>六</w:t>
      </w:r>
      <w:r>
        <w:rPr>
          <w:rFonts w:ascii="Times New Roman" w:hAnsi="Times New Roman" w:eastAsiaTheme="majorEastAsia"/>
          <w:bCs/>
          <w:kern w:val="2"/>
          <w:szCs w:val="36"/>
          <w:highlight w:val="none"/>
        </w:rPr>
        <w:t>章 响应文件格式</w:t>
      </w:r>
      <w:r>
        <w:tab/>
      </w:r>
      <w:r>
        <w:fldChar w:fldCharType="begin"/>
      </w:r>
      <w:r>
        <w:instrText xml:space="preserve"> PAGEREF _Toc14220 \h </w:instrText>
      </w:r>
      <w:r>
        <w:fldChar w:fldCharType="separate"/>
      </w:r>
      <w:r>
        <w:t>46</w:t>
      </w:r>
      <w:r>
        <w:fldChar w:fldCharType="end"/>
      </w:r>
      <w:r>
        <w:rPr>
          <w:bCs/>
          <w:szCs w:val="21"/>
          <w:highlight w:val="none"/>
        </w:rPr>
        <w:fldChar w:fldCharType="end"/>
      </w:r>
    </w:p>
    <w:p w14:paraId="5AF79FFA">
      <w:pPr>
        <w:pStyle w:val="3"/>
        <w:tabs>
          <w:tab w:val="right" w:leader="dot" w:pos="8313"/>
        </w:tabs>
      </w:pPr>
      <w:r>
        <w:rPr>
          <w:bCs/>
          <w:szCs w:val="21"/>
          <w:highlight w:val="none"/>
        </w:rPr>
        <w:fldChar w:fldCharType="begin"/>
      </w:r>
      <w:r>
        <w:rPr>
          <w:bCs/>
          <w:szCs w:val="21"/>
          <w:highlight w:val="none"/>
        </w:rPr>
        <w:instrText xml:space="preserve"> HYPERLINK \l _Toc23642 </w:instrText>
      </w:r>
      <w:r>
        <w:rPr>
          <w:bCs/>
          <w:szCs w:val="21"/>
          <w:highlight w:val="none"/>
        </w:rPr>
        <w:fldChar w:fldCharType="separate"/>
      </w:r>
      <w:r>
        <w:rPr>
          <w:rFonts w:ascii="Times New Roman" w:hAnsi="Times New Roman"/>
          <w:highlight w:val="none"/>
        </w:rPr>
        <w:t>一、响应函</w:t>
      </w:r>
      <w:r>
        <w:tab/>
      </w:r>
      <w:r>
        <w:fldChar w:fldCharType="begin"/>
      </w:r>
      <w:r>
        <w:instrText xml:space="preserve"> PAGEREF _Toc23642 \h </w:instrText>
      </w:r>
      <w:r>
        <w:fldChar w:fldCharType="separate"/>
      </w:r>
      <w:r>
        <w:t>48</w:t>
      </w:r>
      <w:r>
        <w:fldChar w:fldCharType="end"/>
      </w:r>
      <w:r>
        <w:rPr>
          <w:bCs/>
          <w:szCs w:val="21"/>
          <w:highlight w:val="none"/>
        </w:rPr>
        <w:fldChar w:fldCharType="end"/>
      </w:r>
    </w:p>
    <w:p w14:paraId="58D4318C">
      <w:pPr>
        <w:pStyle w:val="3"/>
        <w:tabs>
          <w:tab w:val="right" w:leader="dot" w:pos="8313"/>
        </w:tabs>
      </w:pPr>
      <w:r>
        <w:rPr>
          <w:bCs/>
          <w:szCs w:val="21"/>
          <w:highlight w:val="none"/>
        </w:rPr>
        <w:fldChar w:fldCharType="begin"/>
      </w:r>
      <w:r>
        <w:rPr>
          <w:bCs/>
          <w:szCs w:val="21"/>
          <w:highlight w:val="none"/>
        </w:rPr>
        <w:instrText xml:space="preserve"> HYPERLINK \l _Toc31538 </w:instrText>
      </w:r>
      <w:r>
        <w:rPr>
          <w:bCs/>
          <w:szCs w:val="21"/>
          <w:highlight w:val="none"/>
        </w:rPr>
        <w:fldChar w:fldCharType="separate"/>
      </w:r>
      <w:r>
        <w:rPr>
          <w:rFonts w:hint="eastAsia" w:ascii="Times New Roman" w:hAnsi="Times New Roman"/>
          <w:highlight w:val="none"/>
        </w:rPr>
        <w:t>二、总公司及分/支公司营业执照</w:t>
      </w:r>
      <w:r>
        <w:tab/>
      </w:r>
      <w:r>
        <w:fldChar w:fldCharType="begin"/>
      </w:r>
      <w:r>
        <w:instrText xml:space="preserve"> PAGEREF _Toc31538 \h </w:instrText>
      </w:r>
      <w:r>
        <w:fldChar w:fldCharType="separate"/>
      </w:r>
      <w:r>
        <w:t>51</w:t>
      </w:r>
      <w:r>
        <w:fldChar w:fldCharType="end"/>
      </w:r>
      <w:r>
        <w:rPr>
          <w:bCs/>
          <w:szCs w:val="21"/>
          <w:highlight w:val="none"/>
        </w:rPr>
        <w:fldChar w:fldCharType="end"/>
      </w:r>
    </w:p>
    <w:p w14:paraId="74FC7549">
      <w:pPr>
        <w:pStyle w:val="3"/>
        <w:tabs>
          <w:tab w:val="right" w:leader="dot" w:pos="8313"/>
        </w:tabs>
      </w:pPr>
      <w:r>
        <w:rPr>
          <w:bCs/>
          <w:szCs w:val="21"/>
          <w:highlight w:val="none"/>
        </w:rPr>
        <w:fldChar w:fldCharType="begin"/>
      </w:r>
      <w:r>
        <w:rPr>
          <w:bCs/>
          <w:szCs w:val="21"/>
          <w:highlight w:val="none"/>
        </w:rPr>
        <w:instrText xml:space="preserve"> HYPERLINK \l _Toc14420 </w:instrText>
      </w:r>
      <w:r>
        <w:rPr>
          <w:bCs/>
          <w:szCs w:val="21"/>
          <w:highlight w:val="none"/>
        </w:rPr>
        <w:fldChar w:fldCharType="separate"/>
      </w:r>
      <w:r>
        <w:rPr>
          <w:rFonts w:hint="eastAsia" w:ascii="Times New Roman" w:hAnsi="Times New Roman"/>
          <w:highlight w:val="none"/>
          <w:lang w:val="en-US" w:eastAsia="zh-CN"/>
        </w:rPr>
        <w:t>三</w:t>
      </w:r>
      <w:r>
        <w:rPr>
          <w:rFonts w:hint="eastAsia" w:ascii="Times New Roman" w:hAnsi="Times New Roman"/>
          <w:highlight w:val="none"/>
        </w:rPr>
        <w:t>、法定代表人（或分/支公司负责人）</w:t>
      </w:r>
      <w:r>
        <w:rPr>
          <w:rFonts w:ascii="Times New Roman" w:hAnsi="Times New Roman"/>
          <w:highlight w:val="none"/>
        </w:rPr>
        <w:t>身份证明</w:t>
      </w:r>
      <w:r>
        <w:tab/>
      </w:r>
      <w:r>
        <w:fldChar w:fldCharType="begin"/>
      </w:r>
      <w:r>
        <w:instrText xml:space="preserve"> PAGEREF _Toc14420 \h </w:instrText>
      </w:r>
      <w:r>
        <w:fldChar w:fldCharType="separate"/>
      </w:r>
      <w:r>
        <w:t>52</w:t>
      </w:r>
      <w:r>
        <w:fldChar w:fldCharType="end"/>
      </w:r>
      <w:r>
        <w:rPr>
          <w:bCs/>
          <w:szCs w:val="21"/>
          <w:highlight w:val="none"/>
        </w:rPr>
        <w:fldChar w:fldCharType="end"/>
      </w:r>
    </w:p>
    <w:p w14:paraId="289F4575">
      <w:pPr>
        <w:pStyle w:val="3"/>
        <w:tabs>
          <w:tab w:val="right" w:leader="dot" w:pos="8313"/>
        </w:tabs>
      </w:pPr>
      <w:r>
        <w:rPr>
          <w:bCs/>
          <w:szCs w:val="21"/>
          <w:highlight w:val="none"/>
        </w:rPr>
        <w:fldChar w:fldCharType="begin"/>
      </w:r>
      <w:r>
        <w:rPr>
          <w:bCs/>
          <w:szCs w:val="21"/>
          <w:highlight w:val="none"/>
        </w:rPr>
        <w:instrText xml:space="preserve"> HYPERLINK \l _Toc12187 </w:instrText>
      </w:r>
      <w:r>
        <w:rPr>
          <w:bCs/>
          <w:szCs w:val="21"/>
          <w:highlight w:val="none"/>
        </w:rPr>
        <w:fldChar w:fldCharType="separate"/>
      </w:r>
      <w:r>
        <w:rPr>
          <w:rFonts w:hint="eastAsia" w:ascii="Times New Roman" w:hAnsi="Times New Roman"/>
          <w:highlight w:val="none"/>
          <w:lang w:val="en-US" w:eastAsia="zh-CN"/>
        </w:rPr>
        <w:t>四</w:t>
      </w:r>
      <w:r>
        <w:rPr>
          <w:rFonts w:ascii="Times New Roman" w:hAnsi="Times New Roman"/>
          <w:highlight w:val="none"/>
        </w:rPr>
        <w:t>、</w:t>
      </w:r>
      <w:r>
        <w:rPr>
          <w:rFonts w:hint="eastAsia" w:ascii="Times New Roman" w:hAnsi="Times New Roman"/>
          <w:highlight w:val="none"/>
        </w:rPr>
        <w:t>法定代表人（或分/支公司负责人）</w:t>
      </w:r>
      <w:r>
        <w:rPr>
          <w:rFonts w:ascii="Times New Roman" w:hAnsi="Times New Roman"/>
          <w:highlight w:val="none"/>
        </w:rPr>
        <w:t>授权委托书</w:t>
      </w:r>
      <w:r>
        <w:tab/>
      </w:r>
      <w:r>
        <w:fldChar w:fldCharType="begin"/>
      </w:r>
      <w:r>
        <w:instrText xml:space="preserve"> PAGEREF _Toc12187 \h </w:instrText>
      </w:r>
      <w:r>
        <w:fldChar w:fldCharType="separate"/>
      </w:r>
      <w:r>
        <w:t>53</w:t>
      </w:r>
      <w:r>
        <w:fldChar w:fldCharType="end"/>
      </w:r>
      <w:r>
        <w:rPr>
          <w:bCs/>
          <w:szCs w:val="21"/>
          <w:highlight w:val="none"/>
        </w:rPr>
        <w:fldChar w:fldCharType="end"/>
      </w:r>
    </w:p>
    <w:p w14:paraId="67970AAB">
      <w:pPr>
        <w:pStyle w:val="3"/>
        <w:tabs>
          <w:tab w:val="right" w:leader="dot" w:pos="8313"/>
        </w:tabs>
      </w:pPr>
      <w:r>
        <w:rPr>
          <w:bCs/>
          <w:szCs w:val="21"/>
          <w:highlight w:val="none"/>
        </w:rPr>
        <w:fldChar w:fldCharType="begin"/>
      </w:r>
      <w:r>
        <w:rPr>
          <w:bCs/>
          <w:szCs w:val="21"/>
          <w:highlight w:val="none"/>
        </w:rPr>
        <w:instrText xml:space="preserve"> HYPERLINK \l _Toc2731 </w:instrText>
      </w:r>
      <w:r>
        <w:rPr>
          <w:bCs/>
          <w:szCs w:val="21"/>
          <w:highlight w:val="none"/>
        </w:rPr>
        <w:fldChar w:fldCharType="separate"/>
      </w:r>
      <w:r>
        <w:rPr>
          <w:rFonts w:hint="eastAsia" w:ascii="Times New Roman" w:hAnsi="Times New Roman"/>
          <w:highlight w:val="none"/>
          <w:lang w:val="en-US" w:eastAsia="zh-CN"/>
        </w:rPr>
        <w:t>五</w:t>
      </w:r>
      <w:r>
        <w:rPr>
          <w:rFonts w:ascii="Times New Roman" w:hAnsi="Times New Roman"/>
          <w:highlight w:val="none"/>
        </w:rPr>
        <w:t>、供应商承诺书</w:t>
      </w:r>
      <w:r>
        <w:tab/>
      </w:r>
      <w:r>
        <w:fldChar w:fldCharType="begin"/>
      </w:r>
      <w:r>
        <w:instrText xml:space="preserve"> PAGEREF _Toc2731 \h </w:instrText>
      </w:r>
      <w:r>
        <w:fldChar w:fldCharType="separate"/>
      </w:r>
      <w:r>
        <w:t>54</w:t>
      </w:r>
      <w:r>
        <w:fldChar w:fldCharType="end"/>
      </w:r>
      <w:r>
        <w:rPr>
          <w:bCs/>
          <w:szCs w:val="21"/>
          <w:highlight w:val="none"/>
        </w:rPr>
        <w:fldChar w:fldCharType="end"/>
      </w:r>
    </w:p>
    <w:p w14:paraId="3DCCD4F7">
      <w:pPr>
        <w:pStyle w:val="3"/>
        <w:tabs>
          <w:tab w:val="right" w:leader="dot" w:pos="8313"/>
        </w:tabs>
      </w:pPr>
      <w:r>
        <w:rPr>
          <w:bCs/>
          <w:szCs w:val="21"/>
          <w:highlight w:val="none"/>
        </w:rPr>
        <w:fldChar w:fldCharType="begin"/>
      </w:r>
      <w:r>
        <w:rPr>
          <w:bCs/>
          <w:szCs w:val="21"/>
          <w:highlight w:val="none"/>
        </w:rPr>
        <w:instrText xml:space="preserve"> HYPERLINK \l _Toc4094 </w:instrText>
      </w:r>
      <w:r>
        <w:rPr>
          <w:bCs/>
          <w:szCs w:val="21"/>
          <w:highlight w:val="none"/>
        </w:rPr>
        <w:fldChar w:fldCharType="separate"/>
      </w:r>
      <w:r>
        <w:rPr>
          <w:rFonts w:hint="eastAsia" w:ascii="Times New Roman" w:hAnsi="Times New Roman"/>
          <w:highlight w:val="none"/>
          <w:lang w:val="en-US" w:eastAsia="zh-CN"/>
        </w:rPr>
        <w:t>六</w:t>
      </w:r>
      <w:r>
        <w:rPr>
          <w:rFonts w:ascii="Times New Roman" w:hAnsi="Times New Roman"/>
          <w:highlight w:val="none"/>
        </w:rPr>
        <w:t>、供应商基本情况表</w:t>
      </w:r>
      <w:r>
        <w:tab/>
      </w:r>
      <w:r>
        <w:fldChar w:fldCharType="begin"/>
      </w:r>
      <w:r>
        <w:instrText xml:space="preserve"> PAGEREF _Toc4094 \h </w:instrText>
      </w:r>
      <w:r>
        <w:fldChar w:fldCharType="separate"/>
      </w:r>
      <w:r>
        <w:t>55</w:t>
      </w:r>
      <w:r>
        <w:fldChar w:fldCharType="end"/>
      </w:r>
      <w:r>
        <w:rPr>
          <w:bCs/>
          <w:szCs w:val="21"/>
          <w:highlight w:val="none"/>
        </w:rPr>
        <w:fldChar w:fldCharType="end"/>
      </w:r>
    </w:p>
    <w:p w14:paraId="4A02A8E1">
      <w:pPr>
        <w:pStyle w:val="3"/>
        <w:tabs>
          <w:tab w:val="right" w:leader="dot" w:pos="8313"/>
        </w:tabs>
      </w:pPr>
      <w:r>
        <w:rPr>
          <w:bCs/>
          <w:szCs w:val="21"/>
          <w:highlight w:val="none"/>
        </w:rPr>
        <w:fldChar w:fldCharType="begin"/>
      </w:r>
      <w:r>
        <w:rPr>
          <w:bCs/>
          <w:szCs w:val="21"/>
          <w:highlight w:val="none"/>
        </w:rPr>
        <w:instrText xml:space="preserve"> HYPERLINK \l _Toc28909 </w:instrText>
      </w:r>
      <w:r>
        <w:rPr>
          <w:bCs/>
          <w:szCs w:val="21"/>
          <w:highlight w:val="none"/>
        </w:rPr>
        <w:fldChar w:fldCharType="separate"/>
      </w:r>
      <w:r>
        <w:rPr>
          <w:rFonts w:hint="eastAsia" w:ascii="Times New Roman" w:hAnsi="Times New Roman"/>
          <w:highlight w:val="none"/>
          <w:lang w:val="en-US" w:eastAsia="zh-CN"/>
        </w:rPr>
        <w:t>七</w:t>
      </w:r>
      <w:r>
        <w:rPr>
          <w:rFonts w:ascii="Times New Roman" w:hAnsi="Times New Roman"/>
          <w:highlight w:val="none"/>
        </w:rPr>
        <w:t>、其他资料</w:t>
      </w:r>
      <w:r>
        <w:tab/>
      </w:r>
      <w:r>
        <w:fldChar w:fldCharType="begin"/>
      </w:r>
      <w:r>
        <w:instrText xml:space="preserve"> PAGEREF _Toc28909 \h </w:instrText>
      </w:r>
      <w:r>
        <w:fldChar w:fldCharType="separate"/>
      </w:r>
      <w:r>
        <w:t>56</w:t>
      </w:r>
      <w:r>
        <w:fldChar w:fldCharType="end"/>
      </w:r>
      <w:r>
        <w:rPr>
          <w:bCs/>
          <w:szCs w:val="21"/>
          <w:highlight w:val="none"/>
        </w:rPr>
        <w:fldChar w:fldCharType="end"/>
      </w:r>
    </w:p>
    <w:p w14:paraId="5F397665">
      <w:pPr>
        <w:pStyle w:val="3"/>
        <w:tabs>
          <w:tab w:val="right" w:leader="dot" w:pos="8313"/>
        </w:tabs>
      </w:pPr>
      <w:r>
        <w:rPr>
          <w:bCs/>
          <w:szCs w:val="21"/>
          <w:highlight w:val="none"/>
        </w:rPr>
        <w:fldChar w:fldCharType="begin"/>
      </w:r>
      <w:r>
        <w:rPr>
          <w:bCs/>
          <w:szCs w:val="21"/>
          <w:highlight w:val="none"/>
        </w:rPr>
        <w:instrText xml:space="preserve"> HYPERLINK \l _Toc7702 </w:instrText>
      </w:r>
      <w:r>
        <w:rPr>
          <w:bCs/>
          <w:szCs w:val="21"/>
          <w:highlight w:val="none"/>
        </w:rPr>
        <w:fldChar w:fldCharType="separate"/>
      </w:r>
      <w:r>
        <w:rPr>
          <w:rFonts w:hint="eastAsia" w:ascii="Times New Roman" w:hAnsi="Times New Roman"/>
          <w:highlight w:val="none"/>
          <w:lang w:val="en-US" w:eastAsia="zh-CN"/>
        </w:rPr>
        <w:t>八</w:t>
      </w:r>
      <w:r>
        <w:rPr>
          <w:rFonts w:ascii="Times New Roman" w:hAnsi="Times New Roman"/>
          <w:highlight w:val="none"/>
        </w:rPr>
        <w:t>、第二轮报价单</w:t>
      </w:r>
      <w:r>
        <w:tab/>
      </w:r>
      <w:r>
        <w:fldChar w:fldCharType="begin"/>
      </w:r>
      <w:r>
        <w:instrText xml:space="preserve"> PAGEREF _Toc7702 \h </w:instrText>
      </w:r>
      <w:r>
        <w:fldChar w:fldCharType="separate"/>
      </w:r>
      <w:r>
        <w:t>57</w:t>
      </w:r>
      <w:r>
        <w:fldChar w:fldCharType="end"/>
      </w:r>
      <w:r>
        <w:rPr>
          <w:bCs/>
          <w:szCs w:val="21"/>
          <w:highlight w:val="none"/>
        </w:rPr>
        <w:fldChar w:fldCharType="end"/>
      </w:r>
    </w:p>
    <w:p w14:paraId="51C88C4F">
      <w:pPr>
        <w:pStyle w:val="3"/>
        <w:tabs>
          <w:tab w:val="right" w:leader="dot" w:pos="8313"/>
        </w:tabs>
      </w:pPr>
      <w:r>
        <w:rPr>
          <w:bCs/>
          <w:szCs w:val="21"/>
          <w:highlight w:val="none"/>
        </w:rPr>
        <w:fldChar w:fldCharType="begin"/>
      </w:r>
      <w:r>
        <w:rPr>
          <w:bCs/>
          <w:szCs w:val="21"/>
          <w:highlight w:val="none"/>
        </w:rPr>
        <w:instrText xml:space="preserve"> HYPERLINK \l _Toc32427 </w:instrText>
      </w:r>
      <w:r>
        <w:rPr>
          <w:bCs/>
          <w:szCs w:val="21"/>
          <w:highlight w:val="none"/>
        </w:rPr>
        <w:fldChar w:fldCharType="separate"/>
      </w:r>
      <w:r>
        <w:rPr>
          <w:rFonts w:hint="eastAsia" w:ascii="Times New Roman" w:hAnsi="Times New Roman"/>
          <w:highlight w:val="none"/>
          <w:lang w:val="en-US" w:eastAsia="zh-CN"/>
        </w:rPr>
        <w:t>九</w:t>
      </w:r>
      <w:r>
        <w:rPr>
          <w:rFonts w:ascii="Times New Roman" w:hAnsi="Times New Roman"/>
          <w:highlight w:val="none"/>
        </w:rPr>
        <w:t>、第三轮报价单（如有）</w:t>
      </w:r>
      <w:r>
        <w:tab/>
      </w:r>
      <w:r>
        <w:fldChar w:fldCharType="begin"/>
      </w:r>
      <w:r>
        <w:instrText xml:space="preserve"> PAGEREF _Toc32427 \h </w:instrText>
      </w:r>
      <w:r>
        <w:fldChar w:fldCharType="separate"/>
      </w:r>
      <w:r>
        <w:t>58</w:t>
      </w:r>
      <w:r>
        <w:fldChar w:fldCharType="end"/>
      </w:r>
      <w:r>
        <w:rPr>
          <w:bCs/>
          <w:szCs w:val="21"/>
          <w:highlight w:val="none"/>
        </w:rPr>
        <w:fldChar w:fldCharType="end"/>
      </w:r>
    </w:p>
    <w:p w14:paraId="52EFF527">
      <w:pPr>
        <w:pStyle w:val="2"/>
        <w:spacing w:line="360" w:lineRule="auto"/>
        <w:ind w:firstLine="420"/>
        <w:rPr>
          <w:b/>
          <w:bCs/>
          <w:sz w:val="20"/>
          <w:szCs w:val="20"/>
          <w:highlight w:val="none"/>
        </w:rPr>
        <w:sectPr>
          <w:footerReference r:id="rId12" w:type="first"/>
          <w:footerReference r:id="rId11" w:type="default"/>
          <w:pgSz w:w="11907" w:h="16840"/>
          <w:pgMar w:top="1440" w:right="1797" w:bottom="1440" w:left="1797" w:header="851" w:footer="851" w:gutter="0"/>
          <w:pgNumType w:start="1"/>
          <w:cols w:space="0" w:num="1"/>
          <w:docGrid w:linePitch="312" w:charSpace="0"/>
        </w:sectPr>
      </w:pPr>
      <w:r>
        <w:rPr>
          <w:bCs/>
          <w:szCs w:val="21"/>
          <w:highlight w:val="none"/>
        </w:rPr>
        <w:fldChar w:fldCharType="end"/>
      </w:r>
    </w:p>
    <w:bookmarkEnd w:id="2"/>
    <w:p w14:paraId="5A9CAD3C">
      <w:pPr>
        <w:pStyle w:val="4"/>
        <w:keepNext w:val="0"/>
        <w:snapToGrid w:val="0"/>
        <w:spacing w:before="300" w:after="200" w:line="400" w:lineRule="atLeast"/>
        <w:ind w:firstLine="0" w:firstLineChars="0"/>
        <w:jc w:val="center"/>
        <w:rPr>
          <w:rFonts w:ascii="Times New Roman" w:hAnsi="Times New Roman" w:eastAsiaTheme="majorEastAsia"/>
          <w:bCs/>
          <w:kern w:val="2"/>
          <w:szCs w:val="36"/>
          <w:highlight w:val="none"/>
        </w:rPr>
      </w:pPr>
      <w:bookmarkStart w:id="10" w:name="_Toc15287"/>
      <w:bookmarkStart w:id="11" w:name="_Toc14394"/>
      <w:bookmarkStart w:id="12" w:name="_Toc32232"/>
      <w:r>
        <w:rPr>
          <w:rFonts w:hint="eastAsia" w:ascii="Times New Roman" w:hAnsi="Times New Roman" w:eastAsiaTheme="majorEastAsia"/>
          <w:bCs/>
          <w:kern w:val="2"/>
          <w:szCs w:val="36"/>
          <w:highlight w:val="none"/>
        </w:rPr>
        <w:t xml:space="preserve">第一章 </w:t>
      </w:r>
      <w:r>
        <w:rPr>
          <w:rFonts w:ascii="Times New Roman" w:hAnsi="Times New Roman" w:eastAsiaTheme="majorEastAsia"/>
          <w:bCs/>
          <w:kern w:val="2"/>
          <w:szCs w:val="36"/>
          <w:highlight w:val="none"/>
        </w:rPr>
        <w:t>竞争性谈判公告</w:t>
      </w:r>
      <w:bookmarkEnd w:id="10"/>
      <w:bookmarkEnd w:id="11"/>
      <w:bookmarkEnd w:id="12"/>
    </w:p>
    <w:p w14:paraId="1855B9DE">
      <w:pPr>
        <w:adjustRightInd w:val="0"/>
        <w:snapToGrid w:val="0"/>
        <w:spacing w:line="360" w:lineRule="auto"/>
        <w:ind w:firstLine="0" w:firstLineChars="0"/>
        <w:jc w:val="center"/>
        <w:rPr>
          <w:rFonts w:hint="eastAsia" w:eastAsiaTheme="minorEastAsia"/>
          <w:b/>
          <w:bCs/>
          <w:sz w:val="28"/>
          <w:szCs w:val="28"/>
          <w:highlight w:val="none"/>
          <w:lang w:eastAsia="zh-CN"/>
        </w:rPr>
      </w:pPr>
      <w:r>
        <w:rPr>
          <w:rFonts w:hint="eastAsia" w:eastAsiaTheme="minorEastAsia"/>
          <w:b/>
          <w:bCs/>
          <w:sz w:val="28"/>
          <w:szCs w:val="28"/>
          <w:highlight w:val="none"/>
          <w:lang w:eastAsia="zh-CN"/>
        </w:rPr>
        <w:t>2026-2028年综保区冷链保险服务采购项目</w:t>
      </w:r>
      <w:r>
        <w:rPr>
          <w:rFonts w:eastAsiaTheme="minorEastAsia"/>
          <w:b/>
          <w:bCs/>
          <w:sz w:val="28"/>
          <w:szCs w:val="28"/>
          <w:highlight w:val="none"/>
        </w:rPr>
        <w:t>竞争性谈判公告</w:t>
      </w:r>
    </w:p>
    <w:p w14:paraId="2BC82B07">
      <w:pPr>
        <w:spacing w:line="360" w:lineRule="exact"/>
        <w:ind w:firstLine="420"/>
        <w:rPr>
          <w:rFonts w:eastAsiaTheme="minorEastAsia"/>
          <w:szCs w:val="21"/>
          <w:highlight w:val="none"/>
        </w:rPr>
      </w:pPr>
      <w:bookmarkStart w:id="13" w:name="_Toc398107833"/>
      <w:r>
        <w:rPr>
          <w:rFonts w:eastAsiaTheme="minorEastAsia"/>
          <w:szCs w:val="21"/>
          <w:highlight w:val="none"/>
        </w:rPr>
        <w:t>受采购人</w:t>
      </w:r>
      <w:r>
        <w:rPr>
          <w:rFonts w:hint="eastAsia" w:eastAsiaTheme="minorEastAsia"/>
          <w:szCs w:val="21"/>
          <w:highlight w:val="none"/>
          <w:u w:val="single"/>
          <w:lang w:val="en-US" w:eastAsia="zh-CN"/>
        </w:rPr>
        <w:t xml:space="preserve"> </w:t>
      </w:r>
      <w:r>
        <w:rPr>
          <w:rFonts w:hint="eastAsia" w:eastAsiaTheme="minorEastAsia"/>
          <w:szCs w:val="21"/>
          <w:highlight w:val="none"/>
          <w:u w:val="single"/>
          <w:lang w:eastAsia="zh-CN"/>
        </w:rPr>
        <w:t xml:space="preserve">连云港徐圩冷链保税服务有限公司 </w:t>
      </w:r>
      <w:r>
        <w:rPr>
          <w:rFonts w:eastAsiaTheme="minorEastAsia"/>
          <w:szCs w:val="21"/>
          <w:highlight w:val="none"/>
        </w:rPr>
        <w:t>委托，采购代理机构</w:t>
      </w:r>
      <w:r>
        <w:rPr>
          <w:rFonts w:hint="eastAsia" w:eastAsiaTheme="minorEastAsia"/>
          <w:szCs w:val="21"/>
          <w:highlight w:val="none"/>
          <w:u w:val="single"/>
          <w:lang w:val="en-US" w:eastAsia="zh-CN"/>
        </w:rPr>
        <w:t xml:space="preserve"> </w:t>
      </w:r>
      <w:r>
        <w:rPr>
          <w:rFonts w:hint="eastAsia"/>
          <w:szCs w:val="21"/>
          <w:highlight w:val="none"/>
          <w:u w:val="single"/>
        </w:rPr>
        <w:t>连云港徐圩港口安全环保科技有限公司</w:t>
      </w:r>
      <w:r>
        <w:rPr>
          <w:szCs w:val="21"/>
          <w:highlight w:val="none"/>
          <w:u w:val="single"/>
        </w:rPr>
        <w:t xml:space="preserve"> </w:t>
      </w:r>
      <w:r>
        <w:rPr>
          <w:szCs w:val="21"/>
          <w:highlight w:val="none"/>
        </w:rPr>
        <w:t>对</w:t>
      </w:r>
      <w:r>
        <w:rPr>
          <w:szCs w:val="21"/>
          <w:highlight w:val="none"/>
          <w:u w:val="single"/>
        </w:rPr>
        <w:t xml:space="preserve"> </w:t>
      </w:r>
      <w:r>
        <w:rPr>
          <w:rFonts w:hint="eastAsia"/>
          <w:szCs w:val="21"/>
          <w:highlight w:val="none"/>
          <w:u w:val="single"/>
          <w:lang w:eastAsia="zh-CN"/>
        </w:rPr>
        <w:t>2026-2028年综保区冷链保险服务采购项目</w:t>
      </w:r>
      <w:r>
        <w:rPr>
          <w:szCs w:val="21"/>
          <w:highlight w:val="none"/>
          <w:u w:val="single"/>
        </w:rPr>
        <w:t xml:space="preserve"> </w:t>
      </w:r>
      <w:r>
        <w:rPr>
          <w:rFonts w:eastAsiaTheme="minorEastAsia"/>
          <w:szCs w:val="21"/>
          <w:highlight w:val="none"/>
        </w:rPr>
        <w:t>进行竞争性谈判采购，现欢迎符合相关条件的供应商参加谈判。</w:t>
      </w:r>
    </w:p>
    <w:p w14:paraId="392779EB">
      <w:pPr>
        <w:adjustRightInd w:val="0"/>
        <w:spacing w:line="420" w:lineRule="exact"/>
        <w:ind w:firstLine="422"/>
        <w:rPr>
          <w:rFonts w:eastAsiaTheme="minorEastAsia"/>
          <w:b/>
          <w:szCs w:val="21"/>
          <w:highlight w:val="none"/>
        </w:rPr>
      </w:pPr>
      <w:r>
        <w:rPr>
          <w:rFonts w:eastAsiaTheme="minorEastAsia"/>
          <w:b/>
          <w:szCs w:val="21"/>
          <w:highlight w:val="none"/>
        </w:rPr>
        <w:t>1.采购项目名称及编号</w:t>
      </w:r>
    </w:p>
    <w:p w14:paraId="76D668D4">
      <w:pPr>
        <w:adjustRightInd w:val="0"/>
        <w:spacing w:line="420" w:lineRule="exact"/>
        <w:ind w:firstLine="420"/>
        <w:rPr>
          <w:rFonts w:hint="eastAsia" w:eastAsiaTheme="minorEastAsia"/>
          <w:szCs w:val="21"/>
          <w:highlight w:val="none"/>
          <w:u w:val="single"/>
          <w:lang w:eastAsia="zh-CN"/>
        </w:rPr>
      </w:pPr>
      <w:r>
        <w:rPr>
          <w:rFonts w:eastAsiaTheme="minorEastAsia"/>
          <w:bCs/>
          <w:szCs w:val="21"/>
          <w:highlight w:val="none"/>
        </w:rPr>
        <w:t>1.1项目名称：</w:t>
      </w:r>
      <w:r>
        <w:rPr>
          <w:rFonts w:hint="eastAsia" w:eastAsiaTheme="minorEastAsia"/>
          <w:szCs w:val="21"/>
          <w:highlight w:val="none"/>
          <w:u w:val="single"/>
          <w:lang w:eastAsia="zh-CN"/>
        </w:rPr>
        <w:t>2026-2028年综保区冷链保险服务采购项目</w:t>
      </w:r>
    </w:p>
    <w:p w14:paraId="695E578C">
      <w:pPr>
        <w:adjustRightInd w:val="0"/>
        <w:spacing w:line="420" w:lineRule="exact"/>
        <w:ind w:firstLine="420"/>
        <w:rPr>
          <w:rFonts w:eastAsiaTheme="minorEastAsia"/>
          <w:szCs w:val="21"/>
          <w:highlight w:val="none"/>
          <w:u w:val="single"/>
        </w:rPr>
      </w:pPr>
      <w:r>
        <w:rPr>
          <w:rFonts w:eastAsiaTheme="minorEastAsia"/>
          <w:szCs w:val="21"/>
          <w:highlight w:val="none"/>
        </w:rPr>
        <w:t>1.2项目编号：</w:t>
      </w:r>
      <w:r>
        <w:rPr>
          <w:rFonts w:eastAsiaTheme="minorEastAsia"/>
          <w:szCs w:val="21"/>
          <w:highlight w:val="none"/>
          <w:u w:val="single"/>
        </w:rPr>
        <w:t xml:space="preserve">       /       </w:t>
      </w:r>
    </w:p>
    <w:p w14:paraId="6351777D">
      <w:pPr>
        <w:adjustRightInd w:val="0"/>
        <w:spacing w:line="420" w:lineRule="exact"/>
        <w:ind w:firstLine="422"/>
        <w:rPr>
          <w:rFonts w:eastAsiaTheme="minorEastAsia"/>
          <w:b/>
          <w:szCs w:val="21"/>
          <w:highlight w:val="none"/>
        </w:rPr>
      </w:pPr>
      <w:r>
        <w:rPr>
          <w:rFonts w:eastAsiaTheme="minorEastAsia"/>
          <w:b/>
          <w:szCs w:val="21"/>
          <w:highlight w:val="none"/>
        </w:rPr>
        <w:t>2.项目概况</w:t>
      </w:r>
    </w:p>
    <w:p w14:paraId="4761EA40">
      <w:pPr>
        <w:adjustRightInd w:val="0"/>
        <w:snapToGrid w:val="0"/>
        <w:spacing w:line="420" w:lineRule="exact"/>
        <w:ind w:firstLine="420"/>
        <w:rPr>
          <w:rFonts w:eastAsiaTheme="minorEastAsia"/>
          <w:szCs w:val="21"/>
          <w:highlight w:val="none"/>
        </w:rPr>
      </w:pPr>
      <w:r>
        <w:rPr>
          <w:rFonts w:eastAsiaTheme="minorEastAsia"/>
          <w:szCs w:val="21"/>
          <w:highlight w:val="none"/>
        </w:rPr>
        <w:t>2.1项目地点：</w:t>
      </w:r>
      <w:r>
        <w:rPr>
          <w:rFonts w:hint="eastAsia" w:eastAsiaTheme="minorEastAsia"/>
          <w:szCs w:val="21"/>
          <w:highlight w:val="none"/>
          <w:u w:val="single"/>
        </w:rPr>
        <w:t>连云港市</w:t>
      </w:r>
      <w:r>
        <w:rPr>
          <w:rFonts w:eastAsiaTheme="minorEastAsia"/>
          <w:szCs w:val="21"/>
          <w:highlight w:val="none"/>
          <w:u w:val="single"/>
        </w:rPr>
        <w:t>徐圩新区</w:t>
      </w:r>
      <w:r>
        <w:rPr>
          <w:rFonts w:eastAsiaTheme="minorEastAsia"/>
          <w:szCs w:val="21"/>
          <w:highlight w:val="none"/>
        </w:rPr>
        <w:t>；</w:t>
      </w:r>
    </w:p>
    <w:p w14:paraId="7FFE5863">
      <w:pPr>
        <w:spacing w:line="420" w:lineRule="exact"/>
        <w:ind w:firstLine="422"/>
        <w:jc w:val="left"/>
        <w:rPr>
          <w:b/>
          <w:bCs/>
          <w:szCs w:val="21"/>
          <w:highlight w:val="none"/>
        </w:rPr>
      </w:pPr>
      <w:r>
        <w:rPr>
          <w:b/>
          <w:bCs/>
          <w:szCs w:val="21"/>
          <w:highlight w:val="none"/>
        </w:rPr>
        <w:t>2.2 采购范围：</w:t>
      </w:r>
    </w:p>
    <w:p w14:paraId="5A246855">
      <w:pPr>
        <w:spacing w:line="420" w:lineRule="exact"/>
        <w:ind w:firstLine="422"/>
        <w:jc w:val="left"/>
        <w:rPr>
          <w:rFonts w:hint="eastAsia" w:eastAsia="宋体"/>
          <w:b/>
          <w:bCs/>
          <w:highlight w:val="none"/>
          <w:lang w:eastAsia="zh-CN"/>
        </w:rPr>
      </w:pPr>
      <w:r>
        <w:rPr>
          <w:rFonts w:hint="eastAsia"/>
          <w:b/>
          <w:bCs/>
          <w:szCs w:val="21"/>
          <w:highlight w:val="none"/>
          <w:lang w:eastAsia="zh-CN"/>
        </w:rPr>
        <w:t>连云港综保区（徐圩片区）冷链</w:t>
      </w:r>
      <w:r>
        <w:rPr>
          <w:rFonts w:hint="eastAsia"/>
          <w:b/>
          <w:bCs/>
          <w:szCs w:val="21"/>
          <w:highlight w:val="none"/>
          <w:lang w:val="en-US" w:eastAsia="zh-CN"/>
        </w:rPr>
        <w:t>1-3#查验存储一体库及1#加工配送车间及附属设施设备财产一切险、安全生产责任险、公众责任险</w:t>
      </w:r>
      <w:r>
        <w:rPr>
          <w:rFonts w:hint="eastAsia"/>
          <w:b/>
          <w:bCs/>
          <w:szCs w:val="21"/>
          <w:highlight w:val="none"/>
          <w:lang w:eastAsia="zh-CN"/>
        </w:rPr>
        <w:t>，</w:t>
      </w:r>
      <w:r>
        <w:rPr>
          <w:rFonts w:hint="eastAsia"/>
          <w:b/>
          <w:bCs/>
          <w:szCs w:val="21"/>
          <w:highlight w:val="none"/>
          <w:lang w:val="en-US" w:eastAsia="zh-CN"/>
        </w:rPr>
        <w:t>详见项目任务书</w:t>
      </w:r>
      <w:r>
        <w:rPr>
          <w:rFonts w:hint="eastAsia"/>
          <w:b/>
          <w:bCs/>
          <w:szCs w:val="21"/>
          <w:highlight w:val="none"/>
          <w:lang w:eastAsia="zh-CN"/>
        </w:rPr>
        <w:t>。</w:t>
      </w:r>
    </w:p>
    <w:p w14:paraId="24128339">
      <w:pPr>
        <w:spacing w:line="420" w:lineRule="exact"/>
        <w:ind w:firstLine="420"/>
        <w:jc w:val="left"/>
        <w:rPr>
          <w:szCs w:val="21"/>
          <w:highlight w:val="none"/>
          <w:u w:val="single"/>
        </w:rPr>
      </w:pPr>
      <w:r>
        <w:rPr>
          <w:szCs w:val="21"/>
          <w:highlight w:val="none"/>
        </w:rPr>
        <w:t xml:space="preserve">2.3 </w:t>
      </w:r>
      <w:r>
        <w:rPr>
          <w:rFonts w:hint="eastAsia"/>
          <w:szCs w:val="21"/>
          <w:highlight w:val="none"/>
          <w:lang w:val="en-US" w:eastAsia="zh-CN"/>
        </w:rPr>
        <w:t>服务期</w:t>
      </w:r>
      <w:r>
        <w:rPr>
          <w:szCs w:val="21"/>
          <w:highlight w:val="none"/>
        </w:rPr>
        <w:t>：</w:t>
      </w:r>
      <w:r>
        <w:rPr>
          <w:rFonts w:hint="eastAsia"/>
          <w:b/>
          <w:bCs/>
          <w:szCs w:val="21"/>
          <w:highlight w:val="none"/>
          <w:u w:val="single"/>
          <w:lang w:val="en-US" w:eastAsia="zh-CN"/>
        </w:rPr>
        <w:t>730天</w:t>
      </w:r>
      <w:r>
        <w:rPr>
          <w:rFonts w:hint="eastAsia"/>
          <w:b/>
          <w:bCs/>
          <w:szCs w:val="21"/>
          <w:highlight w:val="none"/>
          <w:u w:val="single"/>
        </w:rPr>
        <w:t>。</w:t>
      </w:r>
    </w:p>
    <w:p w14:paraId="19E21FF7">
      <w:pPr>
        <w:pStyle w:val="2"/>
        <w:spacing w:after="0" w:line="420" w:lineRule="exact"/>
        <w:ind w:left="0" w:right="63" w:firstLine="420"/>
        <w:jc w:val="left"/>
        <w:rPr>
          <w:szCs w:val="21"/>
          <w:highlight w:val="none"/>
        </w:rPr>
      </w:pPr>
      <w:r>
        <w:rPr>
          <w:rFonts w:eastAsiaTheme="minorEastAsia"/>
          <w:szCs w:val="21"/>
          <w:highlight w:val="none"/>
        </w:rPr>
        <w:t>2.</w:t>
      </w:r>
      <w:r>
        <w:rPr>
          <w:rFonts w:hint="eastAsia" w:eastAsiaTheme="minorEastAsia"/>
          <w:szCs w:val="21"/>
          <w:highlight w:val="none"/>
        </w:rPr>
        <w:t>4</w:t>
      </w:r>
      <w:r>
        <w:rPr>
          <w:rFonts w:eastAsiaTheme="minorEastAsia"/>
          <w:szCs w:val="21"/>
          <w:highlight w:val="none"/>
        </w:rPr>
        <w:t>采购控制价：</w:t>
      </w:r>
      <w:r>
        <w:rPr>
          <w:rFonts w:hint="eastAsia" w:eastAsiaTheme="minorEastAsia"/>
          <w:b/>
          <w:bCs/>
          <w:szCs w:val="21"/>
          <w:highlight w:val="none"/>
          <w:u w:val="single"/>
          <w:lang w:val="en-US" w:eastAsia="zh-CN"/>
        </w:rPr>
        <w:t xml:space="preserve"> 34 </w:t>
      </w:r>
      <w:r>
        <w:rPr>
          <w:rFonts w:hint="eastAsia" w:eastAsiaTheme="minorEastAsia"/>
          <w:b/>
          <w:bCs/>
          <w:szCs w:val="21"/>
          <w:highlight w:val="none"/>
          <w:u w:val="none"/>
          <w:lang w:val="en-US" w:eastAsia="zh-CN"/>
        </w:rPr>
        <w:t>万元</w:t>
      </w:r>
      <w:r>
        <w:rPr>
          <w:rFonts w:hint="eastAsia" w:eastAsiaTheme="minorEastAsia"/>
          <w:b/>
          <w:bCs/>
          <w:szCs w:val="21"/>
          <w:highlight w:val="none"/>
        </w:rPr>
        <w:t>，</w:t>
      </w:r>
      <w:r>
        <w:rPr>
          <w:rFonts w:hint="eastAsia"/>
          <w:b/>
          <w:bCs/>
          <w:szCs w:val="21"/>
          <w:highlight w:val="none"/>
        </w:rPr>
        <w:t>供应商报价高于采购人控制价</w:t>
      </w:r>
      <w:r>
        <w:rPr>
          <w:rFonts w:hint="eastAsia"/>
          <w:b/>
          <w:bCs/>
          <w:szCs w:val="21"/>
          <w:highlight w:val="none"/>
          <w:lang w:val="en-US" w:eastAsia="zh-CN"/>
        </w:rPr>
        <w:t>或单项价格高于单项控制价</w:t>
      </w:r>
      <w:r>
        <w:rPr>
          <w:rFonts w:hint="eastAsia"/>
          <w:b/>
          <w:bCs/>
          <w:szCs w:val="21"/>
          <w:highlight w:val="none"/>
        </w:rPr>
        <w:t>的，做无效响应处理。</w:t>
      </w:r>
    </w:p>
    <w:p w14:paraId="42F90336">
      <w:pPr>
        <w:pStyle w:val="2"/>
        <w:spacing w:after="0" w:line="420" w:lineRule="exact"/>
        <w:ind w:firstLine="420"/>
        <w:rPr>
          <w:rFonts w:eastAsiaTheme="minorEastAsia"/>
          <w:szCs w:val="21"/>
          <w:highlight w:val="none"/>
        </w:rPr>
      </w:pPr>
      <w:r>
        <w:rPr>
          <w:rFonts w:eastAsiaTheme="minorEastAsia"/>
          <w:szCs w:val="21"/>
          <w:highlight w:val="none"/>
        </w:rPr>
        <w:t>2.</w:t>
      </w:r>
      <w:r>
        <w:rPr>
          <w:rFonts w:hint="eastAsia" w:eastAsiaTheme="minorEastAsia"/>
          <w:szCs w:val="21"/>
          <w:highlight w:val="none"/>
        </w:rPr>
        <w:t>4</w:t>
      </w:r>
      <w:r>
        <w:rPr>
          <w:rFonts w:eastAsiaTheme="minorEastAsia"/>
          <w:szCs w:val="21"/>
          <w:highlight w:val="none"/>
        </w:rPr>
        <w:t>质量要求：</w:t>
      </w:r>
      <w:r>
        <w:rPr>
          <w:rFonts w:eastAsiaTheme="minorEastAsia"/>
          <w:szCs w:val="21"/>
          <w:highlight w:val="none"/>
          <w:u w:val="single"/>
        </w:rPr>
        <w:t>合格，满足竞争性谈判文件及采购人</w:t>
      </w:r>
      <w:r>
        <w:rPr>
          <w:rFonts w:hint="eastAsia" w:eastAsiaTheme="minorEastAsia"/>
          <w:szCs w:val="21"/>
          <w:highlight w:val="none"/>
          <w:u w:val="single"/>
          <w:lang w:val="en-US" w:eastAsia="zh-CN"/>
        </w:rPr>
        <w:t>任务书要求</w:t>
      </w:r>
      <w:r>
        <w:rPr>
          <w:rFonts w:eastAsiaTheme="minorEastAsia"/>
          <w:szCs w:val="21"/>
          <w:highlight w:val="none"/>
        </w:rPr>
        <w:t>；</w:t>
      </w:r>
    </w:p>
    <w:p w14:paraId="35F570CA">
      <w:pPr>
        <w:adjustRightInd w:val="0"/>
        <w:snapToGrid w:val="0"/>
        <w:spacing w:line="420" w:lineRule="exact"/>
        <w:ind w:firstLine="422"/>
        <w:rPr>
          <w:rFonts w:eastAsiaTheme="minorEastAsia"/>
          <w:b/>
          <w:szCs w:val="21"/>
          <w:highlight w:val="none"/>
        </w:rPr>
      </w:pPr>
      <w:r>
        <w:rPr>
          <w:rFonts w:eastAsiaTheme="minorEastAsia"/>
          <w:b/>
          <w:szCs w:val="21"/>
          <w:highlight w:val="none"/>
        </w:rPr>
        <w:t>3.资格条件</w:t>
      </w:r>
    </w:p>
    <w:p w14:paraId="23F4D418">
      <w:pPr>
        <w:adjustRightInd w:val="0"/>
        <w:snapToGrid w:val="0"/>
        <w:spacing w:line="420" w:lineRule="exact"/>
        <w:ind w:firstLine="420"/>
        <w:rPr>
          <w:szCs w:val="21"/>
          <w:highlight w:val="none"/>
        </w:rPr>
      </w:pPr>
      <w:r>
        <w:rPr>
          <w:szCs w:val="21"/>
          <w:highlight w:val="none"/>
        </w:rPr>
        <w:t>本</w:t>
      </w:r>
      <w:r>
        <w:rPr>
          <w:rFonts w:hint="eastAsia"/>
          <w:szCs w:val="21"/>
          <w:highlight w:val="none"/>
        </w:rPr>
        <w:t>项目</w:t>
      </w:r>
      <w:r>
        <w:rPr>
          <w:szCs w:val="21"/>
          <w:highlight w:val="none"/>
        </w:rPr>
        <w:t>采用</w:t>
      </w:r>
      <w:r>
        <w:rPr>
          <w:b/>
          <w:bCs/>
          <w:szCs w:val="21"/>
          <w:highlight w:val="none"/>
        </w:rPr>
        <w:t>资格后审</w:t>
      </w:r>
      <w:r>
        <w:rPr>
          <w:szCs w:val="21"/>
          <w:highlight w:val="none"/>
        </w:rPr>
        <w:t>方式，以下条件属于资格审查合格条件：</w:t>
      </w:r>
    </w:p>
    <w:p w14:paraId="027966FA">
      <w:pPr>
        <w:adjustRightInd w:val="0"/>
        <w:snapToGrid w:val="0"/>
        <w:spacing w:line="420" w:lineRule="exact"/>
        <w:ind w:firstLine="420"/>
        <w:rPr>
          <w:rFonts w:hint="eastAsia"/>
          <w:szCs w:val="21"/>
          <w:highlight w:val="none"/>
        </w:rPr>
      </w:pPr>
      <w:r>
        <w:rPr>
          <w:szCs w:val="21"/>
          <w:highlight w:val="none"/>
        </w:rPr>
        <w:t>3.1</w:t>
      </w:r>
      <w:r>
        <w:rPr>
          <w:rFonts w:hint="eastAsia"/>
          <w:szCs w:val="21"/>
          <w:highlight w:val="none"/>
        </w:rPr>
        <w:t>供应商是具有独立订立合同的能力</w:t>
      </w:r>
      <w:r>
        <w:rPr>
          <w:szCs w:val="21"/>
          <w:highlight w:val="none"/>
        </w:rPr>
        <w:t>；</w:t>
      </w:r>
      <w:r>
        <w:rPr>
          <w:rFonts w:hint="eastAsia"/>
          <w:szCs w:val="21"/>
          <w:highlight w:val="none"/>
        </w:rPr>
        <w:t>供应商为保险分公司或中心支公司的，需提供具有法人资格的总公司营业执照</w:t>
      </w:r>
      <w:r>
        <w:rPr>
          <w:rFonts w:hint="eastAsia"/>
          <w:szCs w:val="21"/>
          <w:highlight w:val="none"/>
          <w:lang w:val="en-US" w:eastAsia="zh-CN"/>
        </w:rPr>
        <w:t>扫描件</w:t>
      </w:r>
      <w:r>
        <w:rPr>
          <w:rFonts w:hint="eastAsia"/>
          <w:szCs w:val="21"/>
          <w:highlight w:val="none"/>
        </w:rPr>
        <w:t>；</w:t>
      </w:r>
    </w:p>
    <w:p w14:paraId="40A85D93">
      <w:pPr>
        <w:spacing w:line="360" w:lineRule="exact"/>
        <w:ind w:firstLine="420"/>
        <w:jc w:val="left"/>
        <w:rPr>
          <w:szCs w:val="21"/>
          <w:highlight w:val="none"/>
        </w:rPr>
      </w:pPr>
      <w:r>
        <w:rPr>
          <w:szCs w:val="21"/>
          <w:highlight w:val="none"/>
        </w:rPr>
        <w:t>3.2供应商资质要求：</w:t>
      </w:r>
    </w:p>
    <w:p w14:paraId="1A596ACD">
      <w:pPr>
        <w:adjustRightInd/>
        <w:spacing w:line="360" w:lineRule="exact"/>
        <w:ind w:firstLine="422"/>
        <w:jc w:val="left"/>
        <w:rPr>
          <w:szCs w:val="21"/>
          <w:highlight w:val="none"/>
        </w:rPr>
      </w:pPr>
      <w:r>
        <w:rPr>
          <w:rFonts w:hint="eastAsia"/>
          <w:b/>
          <w:bCs/>
          <w:szCs w:val="21"/>
          <w:highlight w:val="none"/>
          <w:u w:val="single"/>
        </w:rPr>
        <w:t>供应商须提供由国家金融监督管理总局（中国银行保险监督管理委员会或中国保险监督管理委员会）颁发的《经营保险业务许可证》或《保险许可证》（在有效期内</w:t>
      </w:r>
      <w:r>
        <w:rPr>
          <w:rFonts w:hint="eastAsia"/>
          <w:szCs w:val="21"/>
          <w:highlight w:val="none"/>
          <w:u w:val="single"/>
        </w:rPr>
        <w:t>）</w:t>
      </w:r>
      <w:r>
        <w:rPr>
          <w:szCs w:val="21"/>
          <w:highlight w:val="none"/>
        </w:rPr>
        <w:t>；</w:t>
      </w:r>
    </w:p>
    <w:p w14:paraId="7B4C982D">
      <w:pPr>
        <w:adjustRightInd/>
        <w:spacing w:line="360" w:lineRule="exact"/>
        <w:ind w:firstLine="422"/>
        <w:jc w:val="left"/>
        <w:rPr>
          <w:szCs w:val="21"/>
          <w:highlight w:val="none"/>
        </w:rPr>
      </w:pPr>
      <w:r>
        <w:rPr>
          <w:szCs w:val="21"/>
          <w:highlight w:val="none"/>
        </w:rPr>
        <w:t>3.3</w:t>
      </w:r>
      <w:r>
        <w:rPr>
          <w:rFonts w:eastAsiaTheme="minorEastAsia"/>
          <w:szCs w:val="21"/>
          <w:highlight w:val="none"/>
        </w:rPr>
        <w:t>供应商拟派项目负责人</w:t>
      </w:r>
      <w:r>
        <w:rPr>
          <w:rFonts w:hint="eastAsia" w:eastAsiaTheme="minorEastAsia"/>
          <w:szCs w:val="21"/>
          <w:highlight w:val="none"/>
        </w:rPr>
        <w:t>要求：</w:t>
      </w:r>
      <w:r>
        <w:rPr>
          <w:rFonts w:hint="eastAsia"/>
          <w:szCs w:val="21"/>
          <w:highlight w:val="none"/>
          <w:u w:val="single"/>
        </w:rPr>
        <w:t xml:space="preserve">  /；</w:t>
      </w:r>
    </w:p>
    <w:p w14:paraId="1E648700">
      <w:pPr>
        <w:spacing w:line="420" w:lineRule="exact"/>
        <w:ind w:firstLine="422"/>
        <w:jc w:val="left"/>
        <w:rPr>
          <w:b/>
          <w:bCs/>
          <w:szCs w:val="21"/>
          <w:highlight w:val="none"/>
        </w:rPr>
      </w:pPr>
      <w:r>
        <w:rPr>
          <w:rFonts w:hint="eastAsia"/>
          <w:b/>
          <w:bCs/>
          <w:szCs w:val="21"/>
          <w:highlight w:val="none"/>
        </w:rPr>
        <w:t>3.4供应商业绩要求：供应商自202</w:t>
      </w:r>
      <w:r>
        <w:rPr>
          <w:rFonts w:hint="eastAsia"/>
          <w:b/>
          <w:bCs/>
          <w:szCs w:val="21"/>
          <w:highlight w:val="none"/>
          <w:lang w:val="en-US" w:eastAsia="zh-CN"/>
        </w:rPr>
        <w:t>3</w:t>
      </w:r>
      <w:r>
        <w:rPr>
          <w:rFonts w:hint="eastAsia"/>
          <w:b/>
          <w:bCs/>
          <w:szCs w:val="21"/>
          <w:highlight w:val="none"/>
        </w:rPr>
        <w:t>年</w:t>
      </w:r>
      <w:r>
        <w:rPr>
          <w:rFonts w:hint="eastAsia"/>
          <w:b/>
          <w:bCs/>
          <w:szCs w:val="21"/>
          <w:highlight w:val="none"/>
          <w:lang w:val="en-US" w:eastAsia="zh-CN"/>
        </w:rPr>
        <w:t>1</w:t>
      </w:r>
      <w:r>
        <w:rPr>
          <w:rFonts w:hint="eastAsia"/>
          <w:b/>
          <w:bCs/>
          <w:szCs w:val="21"/>
          <w:highlight w:val="none"/>
        </w:rPr>
        <w:t>月1日以来，至少需</w:t>
      </w:r>
      <w:r>
        <w:rPr>
          <w:rFonts w:hint="eastAsia"/>
          <w:b/>
          <w:bCs/>
          <w:color w:val="auto"/>
          <w:szCs w:val="21"/>
          <w:highlight w:val="none"/>
        </w:rPr>
        <w:t>具备1个</w:t>
      </w:r>
      <w:r>
        <w:rPr>
          <w:rFonts w:hint="default" w:ascii="Times New Roman" w:hAnsi="Times New Roman" w:cs="Times New Roman"/>
          <w:b/>
          <w:bCs/>
          <w:color w:val="auto"/>
          <w:szCs w:val="21"/>
          <w:highlight w:val="none"/>
          <w:u w:val="none"/>
          <w:lang w:val="en-US" w:eastAsia="zh-CN"/>
        </w:rPr>
        <w:t>独家或共保首席的</w:t>
      </w:r>
      <w:r>
        <w:rPr>
          <w:rFonts w:hint="eastAsia" w:cs="Times New Roman"/>
          <w:b/>
          <w:bCs/>
          <w:color w:val="auto"/>
          <w:szCs w:val="21"/>
          <w:highlight w:val="none"/>
          <w:u w:val="none"/>
          <w:lang w:val="en-US" w:eastAsia="zh-CN"/>
        </w:rPr>
        <w:t>仓库或仓储货物类似</w:t>
      </w:r>
      <w:r>
        <w:rPr>
          <w:rFonts w:hint="default" w:ascii="Times New Roman" w:hAnsi="Times New Roman" w:cs="Times New Roman"/>
          <w:b/>
          <w:bCs/>
          <w:color w:val="auto"/>
          <w:szCs w:val="21"/>
          <w:highlight w:val="none"/>
          <w:u w:val="none"/>
          <w:lang w:val="en-US" w:eastAsia="zh-CN"/>
        </w:rPr>
        <w:t>保险</w:t>
      </w:r>
      <w:r>
        <w:rPr>
          <w:rFonts w:hint="eastAsia" w:cs="Times New Roman"/>
          <w:b/>
          <w:bCs/>
          <w:color w:val="auto"/>
          <w:szCs w:val="21"/>
          <w:highlight w:val="none"/>
          <w:u w:val="none"/>
          <w:lang w:val="en-US" w:eastAsia="zh-CN"/>
        </w:rPr>
        <w:t>承保业绩</w:t>
      </w:r>
      <w:r>
        <w:rPr>
          <w:rFonts w:hint="eastAsia"/>
          <w:b/>
          <w:bCs/>
          <w:szCs w:val="21"/>
          <w:highlight w:val="none"/>
        </w:rPr>
        <w:t>；</w:t>
      </w:r>
    </w:p>
    <w:p w14:paraId="07DC40B2">
      <w:pPr>
        <w:spacing w:line="420" w:lineRule="exact"/>
        <w:ind w:firstLine="422"/>
        <w:rPr>
          <w:rFonts w:hint="eastAsia"/>
          <w:b/>
          <w:bCs/>
          <w:szCs w:val="21"/>
          <w:highlight w:val="none"/>
        </w:rPr>
      </w:pPr>
      <w:r>
        <w:rPr>
          <w:rFonts w:hint="eastAsia"/>
          <w:b/>
          <w:bCs/>
          <w:szCs w:val="21"/>
          <w:highlight w:val="none"/>
        </w:rPr>
        <w:t>注：</w:t>
      </w:r>
      <w:r>
        <w:rPr>
          <w:rFonts w:hint="eastAsia"/>
          <w:b/>
          <w:bCs/>
          <w:szCs w:val="21"/>
          <w:highlight w:val="none"/>
          <w:lang w:val="en-US" w:eastAsia="zh-CN"/>
        </w:rPr>
        <w:t>1、</w:t>
      </w:r>
      <w:r>
        <w:rPr>
          <w:rFonts w:hint="eastAsia"/>
          <w:b/>
          <w:bCs/>
          <w:szCs w:val="21"/>
          <w:highlight w:val="none"/>
        </w:rPr>
        <w:t>须提供</w:t>
      </w:r>
      <w:r>
        <w:rPr>
          <w:rFonts w:hint="eastAsia"/>
          <w:b/>
          <w:bCs/>
          <w:szCs w:val="21"/>
          <w:highlight w:val="none"/>
          <w:lang w:val="en-US" w:eastAsia="zh-CN"/>
        </w:rPr>
        <w:t>业绩</w:t>
      </w:r>
      <w:r>
        <w:rPr>
          <w:rFonts w:hint="eastAsia"/>
          <w:b/>
          <w:bCs/>
          <w:szCs w:val="21"/>
          <w:highlight w:val="none"/>
        </w:rPr>
        <w:t>合同扫描件</w:t>
      </w:r>
      <w:r>
        <w:rPr>
          <w:rFonts w:hint="eastAsia"/>
          <w:b/>
          <w:bCs/>
          <w:szCs w:val="21"/>
          <w:highlight w:val="none"/>
          <w:lang w:val="en-US" w:eastAsia="zh-CN"/>
        </w:rPr>
        <w:t>或保单</w:t>
      </w:r>
      <w:r>
        <w:rPr>
          <w:rFonts w:hint="eastAsia"/>
          <w:b/>
          <w:bCs/>
          <w:szCs w:val="21"/>
          <w:highlight w:val="none"/>
        </w:rPr>
        <w:t>，业绩认定时间以合同签订时间</w:t>
      </w:r>
      <w:r>
        <w:rPr>
          <w:rFonts w:hint="eastAsia"/>
          <w:b/>
          <w:bCs/>
          <w:szCs w:val="21"/>
          <w:highlight w:val="none"/>
          <w:lang w:val="en-US" w:eastAsia="zh-CN"/>
        </w:rPr>
        <w:t>或保单生效时间</w:t>
      </w:r>
      <w:r>
        <w:rPr>
          <w:rFonts w:hint="eastAsia"/>
          <w:b/>
          <w:bCs/>
          <w:szCs w:val="21"/>
          <w:highlight w:val="none"/>
        </w:rPr>
        <w:t>为准，</w:t>
      </w:r>
      <w:r>
        <w:rPr>
          <w:rFonts w:hint="eastAsia"/>
          <w:b/>
          <w:bCs/>
          <w:szCs w:val="21"/>
          <w:highlight w:val="none"/>
          <w:lang w:val="en-US" w:eastAsia="zh-CN"/>
        </w:rPr>
        <w:t>合同或保单</w:t>
      </w:r>
      <w:r>
        <w:rPr>
          <w:rFonts w:hint="eastAsia"/>
          <w:b/>
          <w:bCs/>
          <w:highlight w:val="none"/>
        </w:rPr>
        <w:t>需清晰反映签订日期、项目名称等需要明示的内容</w:t>
      </w:r>
      <w:r>
        <w:rPr>
          <w:rFonts w:hint="eastAsia"/>
          <w:b/>
          <w:bCs/>
          <w:szCs w:val="21"/>
          <w:highlight w:val="none"/>
        </w:rPr>
        <w:t>，若提供的证明材料不能反映谈判文件所需的内容，则需提供委托单位加盖公章的书面证明文件，否则不予认可。</w:t>
      </w:r>
    </w:p>
    <w:p w14:paraId="560F76E5">
      <w:pPr>
        <w:pStyle w:val="60"/>
        <w:ind w:firstLine="840" w:firstLineChars="400"/>
        <w:rPr>
          <w:rFonts w:hint="default" w:eastAsia="宋体"/>
          <w:highlight w:val="none"/>
          <w:lang w:val="en-US" w:eastAsia="zh-CN"/>
        </w:rPr>
      </w:pPr>
      <w:r>
        <w:rPr>
          <w:rFonts w:hint="eastAsia"/>
          <w:b/>
          <w:bCs/>
          <w:szCs w:val="21"/>
          <w:highlight w:val="none"/>
          <w:lang w:val="en-US" w:eastAsia="zh-CN"/>
        </w:rPr>
        <w:t>2、如供应商为非独立法人资格的分公司（分支机构）的，业绩须为本单位业绩。</w:t>
      </w:r>
    </w:p>
    <w:p w14:paraId="5A8754F3">
      <w:pPr>
        <w:spacing w:line="420" w:lineRule="exact"/>
        <w:ind w:firstLine="420"/>
        <w:rPr>
          <w:b/>
          <w:bCs/>
          <w:szCs w:val="21"/>
          <w:highlight w:val="none"/>
        </w:rPr>
      </w:pPr>
      <w:r>
        <w:rPr>
          <w:color w:val="000000"/>
          <w:szCs w:val="21"/>
          <w:highlight w:val="none"/>
        </w:rPr>
        <w:t>3.5信誉要求：</w:t>
      </w:r>
    </w:p>
    <w:p w14:paraId="1DB83D85">
      <w:pPr>
        <w:spacing w:line="420" w:lineRule="exact"/>
        <w:ind w:firstLine="420"/>
        <w:rPr>
          <w:szCs w:val="21"/>
          <w:highlight w:val="none"/>
        </w:rPr>
      </w:pPr>
      <w:r>
        <w:rPr>
          <w:szCs w:val="21"/>
          <w:highlight w:val="none"/>
        </w:rPr>
        <w:t>3.5.1未被有关部门限制在采购项目所在地承接项目的；</w:t>
      </w:r>
    </w:p>
    <w:p w14:paraId="401CD535">
      <w:pPr>
        <w:spacing w:line="420" w:lineRule="exact"/>
        <w:ind w:firstLine="420"/>
        <w:rPr>
          <w:szCs w:val="21"/>
          <w:highlight w:val="none"/>
        </w:rPr>
      </w:pPr>
      <w:r>
        <w:rPr>
          <w:szCs w:val="21"/>
          <w:highlight w:val="none"/>
        </w:rPr>
        <w:t>3.5.2供应商未被列为失信被执行人。在评审阶段，供应商正被列为失信被执行人的，评审委员会不得推荐该供应商为成交候选人；</w:t>
      </w:r>
      <w:r>
        <w:rPr>
          <w:rFonts w:hint="eastAsia"/>
          <w:szCs w:val="21"/>
          <w:highlight w:val="none"/>
        </w:rPr>
        <w:t>在成交候选人公示（至发出成交通知书（如有））的期间</w:t>
      </w:r>
      <w:r>
        <w:rPr>
          <w:szCs w:val="21"/>
          <w:highlight w:val="none"/>
        </w:rPr>
        <w:t>，公示的成交候选人正被列为失信被执行人的，采购人将取消其成交资格，并重新确定成交供应商。失信被执行人名单以“信用中国”www.creditchina.gov.cn公布为准，惩戒期限自网站上公布的失信被执行人信息中载明的发布时间开始，直至撤销或更正信息中载明的发布时间的期间。</w:t>
      </w:r>
    </w:p>
    <w:p w14:paraId="23974218">
      <w:pPr>
        <w:spacing w:line="420" w:lineRule="exact"/>
        <w:ind w:firstLine="422"/>
        <w:rPr>
          <w:b/>
          <w:bCs/>
          <w:szCs w:val="21"/>
          <w:highlight w:val="none"/>
        </w:rPr>
      </w:pPr>
      <w:r>
        <w:rPr>
          <w:rFonts w:hint="eastAsia"/>
          <w:b/>
          <w:bCs/>
          <w:szCs w:val="21"/>
          <w:highlight w:val="none"/>
        </w:rPr>
        <w:t>3.5.3 供应商近5年无行贿犯罪记录（具体时间从采购公告发布之日起倒算）；供应商（含法定代表人、股东、高管、拟派本采购项目的项目负责人）不存在向采购人（包含港控集团及子公司）工作人员行贿行为。</w:t>
      </w:r>
    </w:p>
    <w:p w14:paraId="2D2C2D71">
      <w:pPr>
        <w:spacing w:line="420" w:lineRule="exact"/>
        <w:ind w:firstLine="420"/>
        <w:rPr>
          <w:szCs w:val="21"/>
          <w:highlight w:val="none"/>
        </w:rPr>
      </w:pPr>
      <w:r>
        <w:rPr>
          <w:szCs w:val="21"/>
          <w:highlight w:val="none"/>
        </w:rPr>
        <w:t>注：以上信誉要求内容由各供应商按照谈判文件</w:t>
      </w:r>
      <w:r>
        <w:rPr>
          <w:rFonts w:hint="eastAsia"/>
          <w:szCs w:val="21"/>
          <w:highlight w:val="none"/>
        </w:rPr>
        <w:t>第六章响应文件格式</w:t>
      </w:r>
      <w:r>
        <w:rPr>
          <w:szCs w:val="21"/>
          <w:highlight w:val="none"/>
        </w:rPr>
        <w:t>承诺书要求进行承诺，并承担作出虚假承诺的一切后果。</w:t>
      </w:r>
    </w:p>
    <w:p w14:paraId="12D82411">
      <w:pPr>
        <w:spacing w:line="420" w:lineRule="exact"/>
        <w:ind w:firstLine="420"/>
        <w:rPr>
          <w:szCs w:val="21"/>
          <w:highlight w:val="none"/>
        </w:rPr>
      </w:pPr>
      <w:r>
        <w:rPr>
          <w:szCs w:val="21"/>
          <w:highlight w:val="none"/>
        </w:rPr>
        <w:t>3.6供应商不得存在下列情形之一：</w:t>
      </w:r>
    </w:p>
    <w:p w14:paraId="08EC55C1">
      <w:pPr>
        <w:spacing w:line="420" w:lineRule="exact"/>
        <w:ind w:firstLine="420"/>
        <w:rPr>
          <w:rFonts w:eastAsiaTheme="minorEastAsia"/>
          <w:szCs w:val="21"/>
          <w:highlight w:val="none"/>
        </w:rPr>
      </w:pPr>
      <w:r>
        <w:rPr>
          <w:rFonts w:eastAsiaTheme="minorEastAsia"/>
          <w:szCs w:val="21"/>
          <w:highlight w:val="none"/>
        </w:rPr>
        <w:t>（1）为采购人不具有独立法人资格的附属机构（单位）；</w:t>
      </w:r>
    </w:p>
    <w:p w14:paraId="6DA27BB7">
      <w:pPr>
        <w:spacing w:line="420" w:lineRule="exact"/>
        <w:ind w:firstLine="420"/>
        <w:rPr>
          <w:rFonts w:eastAsiaTheme="minorEastAsia"/>
          <w:szCs w:val="21"/>
          <w:highlight w:val="none"/>
        </w:rPr>
      </w:pPr>
      <w:r>
        <w:rPr>
          <w:rFonts w:eastAsiaTheme="minorEastAsia"/>
          <w:szCs w:val="21"/>
          <w:highlight w:val="none"/>
        </w:rPr>
        <w:t>（2）为本项目的监理人、代建人、项目管理人，以及为本项目提供采购代理、设计服务的；</w:t>
      </w:r>
    </w:p>
    <w:p w14:paraId="0D711AF0">
      <w:pPr>
        <w:spacing w:line="420" w:lineRule="exact"/>
        <w:ind w:firstLine="420"/>
        <w:rPr>
          <w:rFonts w:eastAsiaTheme="minorEastAsia"/>
          <w:szCs w:val="21"/>
          <w:highlight w:val="none"/>
        </w:rPr>
      </w:pPr>
      <w:r>
        <w:rPr>
          <w:rFonts w:eastAsiaTheme="minorEastAsia"/>
          <w:szCs w:val="21"/>
          <w:highlight w:val="none"/>
        </w:rPr>
        <w:t>（3）与本项目的监理人、代建人、采购代理机构同为一个法定代表人的，或者相互控股、参股的；</w:t>
      </w:r>
    </w:p>
    <w:p w14:paraId="47231B9D">
      <w:pPr>
        <w:spacing w:line="420" w:lineRule="exact"/>
        <w:ind w:firstLine="420"/>
        <w:rPr>
          <w:rFonts w:eastAsiaTheme="minorEastAsia"/>
          <w:szCs w:val="21"/>
          <w:highlight w:val="none"/>
        </w:rPr>
      </w:pPr>
      <w:r>
        <w:rPr>
          <w:rFonts w:eastAsiaTheme="minorEastAsia"/>
          <w:szCs w:val="21"/>
          <w:highlight w:val="none"/>
        </w:rPr>
        <w:t>（4）与采购人存在利害关系可能影响采购公正性的；</w:t>
      </w:r>
    </w:p>
    <w:p w14:paraId="28E7393E">
      <w:pPr>
        <w:spacing w:line="420" w:lineRule="exact"/>
        <w:ind w:firstLine="420"/>
        <w:rPr>
          <w:rFonts w:eastAsiaTheme="minorEastAsia"/>
          <w:szCs w:val="21"/>
          <w:highlight w:val="none"/>
        </w:rPr>
      </w:pPr>
      <w:r>
        <w:rPr>
          <w:rFonts w:eastAsiaTheme="minorEastAsia"/>
          <w:szCs w:val="21"/>
          <w:highlight w:val="none"/>
        </w:rPr>
        <w:t>（5）单位负责人为同一人或者存在控股、管理关系的不同单位；</w:t>
      </w:r>
    </w:p>
    <w:p w14:paraId="498BC5E1">
      <w:pPr>
        <w:spacing w:line="420" w:lineRule="exact"/>
        <w:ind w:firstLine="420"/>
        <w:rPr>
          <w:rFonts w:eastAsiaTheme="minorEastAsia"/>
          <w:szCs w:val="21"/>
          <w:highlight w:val="none"/>
        </w:rPr>
      </w:pPr>
      <w:r>
        <w:rPr>
          <w:rFonts w:eastAsiaTheme="minorEastAsia"/>
          <w:szCs w:val="21"/>
          <w:highlight w:val="none"/>
        </w:rPr>
        <w:t>（6）存在同一人直接关联任职，担任股东或高管（董事长、总经理、副经理、董事、监事）的不同单位；</w:t>
      </w:r>
    </w:p>
    <w:p w14:paraId="12333816">
      <w:pPr>
        <w:spacing w:line="420" w:lineRule="exact"/>
        <w:ind w:firstLine="420"/>
        <w:rPr>
          <w:rFonts w:eastAsiaTheme="minorEastAsia"/>
          <w:szCs w:val="21"/>
          <w:highlight w:val="none"/>
        </w:rPr>
      </w:pPr>
      <w:r>
        <w:rPr>
          <w:rFonts w:eastAsiaTheme="minorEastAsia"/>
          <w:szCs w:val="21"/>
          <w:highlight w:val="none"/>
        </w:rPr>
        <w:t>（7）处于被责令停业、财产被接管、冻结和破产状态，以及投标（供应商）资格被取消或者被暂停且在暂停期内；</w:t>
      </w:r>
    </w:p>
    <w:p w14:paraId="51FB5452">
      <w:pPr>
        <w:spacing w:line="420" w:lineRule="exact"/>
        <w:ind w:firstLine="420"/>
        <w:rPr>
          <w:rFonts w:eastAsiaTheme="minorEastAsia"/>
          <w:szCs w:val="21"/>
          <w:highlight w:val="none"/>
        </w:rPr>
      </w:pPr>
      <w:r>
        <w:rPr>
          <w:rFonts w:eastAsiaTheme="minorEastAsia"/>
          <w:szCs w:val="21"/>
          <w:highlight w:val="none"/>
        </w:rPr>
        <w:t>（8）因拖欠工人工资或者发生质量安全事故被有关部门限制在采购项目所在地承接工程的；</w:t>
      </w:r>
    </w:p>
    <w:p w14:paraId="31DEADB3">
      <w:pPr>
        <w:spacing w:line="420" w:lineRule="exact"/>
        <w:ind w:firstLine="420"/>
        <w:rPr>
          <w:rFonts w:eastAsiaTheme="minorEastAsia"/>
          <w:szCs w:val="21"/>
          <w:highlight w:val="none"/>
        </w:rPr>
      </w:pPr>
      <w:r>
        <w:rPr>
          <w:rFonts w:eastAsiaTheme="minorEastAsia"/>
          <w:szCs w:val="21"/>
          <w:highlight w:val="none"/>
        </w:rPr>
        <w:t>（9）参与港控集团及子公司项目采购存在围串标情形且被限制参与采购活动的。</w:t>
      </w:r>
    </w:p>
    <w:p w14:paraId="46BA72AF">
      <w:pPr>
        <w:pStyle w:val="2"/>
        <w:spacing w:after="0" w:line="420" w:lineRule="exact"/>
        <w:ind w:firstLine="420"/>
        <w:rPr>
          <w:rFonts w:eastAsiaTheme="minorEastAsia"/>
          <w:b/>
          <w:bCs/>
          <w:szCs w:val="21"/>
          <w:highlight w:val="none"/>
        </w:rPr>
      </w:pPr>
      <w:r>
        <w:rPr>
          <w:rFonts w:eastAsiaTheme="minorEastAsia"/>
          <w:b/>
          <w:bCs/>
          <w:szCs w:val="21"/>
          <w:highlight w:val="none"/>
        </w:rPr>
        <w:t>3.</w:t>
      </w:r>
      <w:r>
        <w:rPr>
          <w:rFonts w:hint="eastAsia" w:eastAsiaTheme="minorEastAsia"/>
          <w:b/>
          <w:bCs/>
          <w:szCs w:val="21"/>
          <w:highlight w:val="none"/>
        </w:rPr>
        <w:t>7</w:t>
      </w:r>
      <w:r>
        <w:rPr>
          <w:rFonts w:eastAsiaTheme="minorEastAsia"/>
          <w:b/>
          <w:bCs/>
          <w:szCs w:val="21"/>
          <w:highlight w:val="none"/>
        </w:rPr>
        <w:t>本项目不接受联合体参与谈判。</w:t>
      </w:r>
    </w:p>
    <w:p w14:paraId="79CE886D">
      <w:pPr>
        <w:spacing w:line="420" w:lineRule="exact"/>
        <w:ind w:firstLine="422"/>
        <w:rPr>
          <w:rFonts w:eastAsiaTheme="minorEastAsia"/>
          <w:b/>
          <w:szCs w:val="21"/>
          <w:highlight w:val="none"/>
        </w:rPr>
      </w:pPr>
      <w:r>
        <w:rPr>
          <w:rFonts w:eastAsiaTheme="minorEastAsia"/>
          <w:b/>
          <w:szCs w:val="21"/>
          <w:highlight w:val="none"/>
        </w:rPr>
        <w:t>4.谈判文件的获取</w:t>
      </w:r>
    </w:p>
    <w:p w14:paraId="0354AA2C">
      <w:pPr>
        <w:spacing w:line="420" w:lineRule="exact"/>
        <w:ind w:firstLine="420"/>
        <w:rPr>
          <w:rFonts w:eastAsiaTheme="minorEastAsia"/>
          <w:b/>
          <w:bCs w:val="0"/>
          <w:color w:val="000000" w:themeColor="text1"/>
          <w:szCs w:val="21"/>
          <w:highlight w:val="none"/>
          <w14:textFill>
            <w14:solidFill>
              <w14:schemeClr w14:val="tx1"/>
            </w14:solidFill>
          </w14:textFill>
        </w:rPr>
      </w:pPr>
      <w:r>
        <w:rPr>
          <w:rFonts w:eastAsiaTheme="minorEastAsia"/>
          <w:b/>
          <w:bCs w:val="0"/>
          <w:color w:val="000000" w:themeColor="text1"/>
          <w:szCs w:val="21"/>
          <w:highlight w:val="none"/>
          <w14:textFill>
            <w14:solidFill>
              <w14:schemeClr w14:val="tx1"/>
            </w14:solidFill>
          </w14:textFill>
        </w:rPr>
        <w:t>4.1谈判文件的获取时间为：</w:t>
      </w:r>
      <w:r>
        <w:rPr>
          <w:rFonts w:eastAsiaTheme="minorEastAsia"/>
          <w:b/>
          <w:bCs w:val="0"/>
          <w:color w:val="000000" w:themeColor="text1"/>
          <w:szCs w:val="21"/>
          <w:highlight w:val="none"/>
          <w:u w:val="single"/>
          <w14:textFill>
            <w14:solidFill>
              <w14:schemeClr w14:val="tx1"/>
            </w14:solidFill>
          </w14:textFill>
        </w:rPr>
        <w:t>202</w:t>
      </w:r>
      <w:r>
        <w:rPr>
          <w:rFonts w:hint="eastAsia" w:eastAsiaTheme="minorEastAsia"/>
          <w:b/>
          <w:bCs w:val="0"/>
          <w:color w:val="000000" w:themeColor="text1"/>
          <w:szCs w:val="21"/>
          <w:highlight w:val="none"/>
          <w:u w:val="single"/>
          <w:lang w:val="en-US" w:eastAsia="zh-CN"/>
          <w14:textFill>
            <w14:solidFill>
              <w14:schemeClr w14:val="tx1"/>
            </w14:solidFill>
          </w14:textFill>
        </w:rPr>
        <w:t>6</w:t>
      </w:r>
      <w:r>
        <w:rPr>
          <w:rFonts w:eastAsiaTheme="minorEastAsia"/>
          <w:b/>
          <w:bCs w:val="0"/>
          <w:color w:val="000000" w:themeColor="text1"/>
          <w:szCs w:val="21"/>
          <w:highlight w:val="none"/>
          <w14:textFill>
            <w14:solidFill>
              <w14:schemeClr w14:val="tx1"/>
            </w14:solidFill>
          </w14:textFill>
        </w:rPr>
        <w:t>年</w:t>
      </w:r>
      <w:r>
        <w:rPr>
          <w:rFonts w:hint="eastAsia" w:eastAsiaTheme="minorEastAsia"/>
          <w:b/>
          <w:bCs w:val="0"/>
          <w:color w:val="000000" w:themeColor="text1"/>
          <w:szCs w:val="21"/>
          <w:highlight w:val="none"/>
          <w:u w:val="single"/>
          <w14:textFill>
            <w14:solidFill>
              <w14:schemeClr w14:val="tx1"/>
            </w14:solidFill>
          </w14:textFill>
        </w:rPr>
        <w:t xml:space="preserve"> </w:t>
      </w:r>
      <w:r>
        <w:rPr>
          <w:rFonts w:hint="eastAsia" w:eastAsiaTheme="minorEastAsia"/>
          <w:b/>
          <w:bCs w:val="0"/>
          <w:color w:val="000000" w:themeColor="text1"/>
          <w:szCs w:val="21"/>
          <w:highlight w:val="none"/>
          <w:u w:val="single"/>
          <w:lang w:val="en-US" w:eastAsia="zh-CN"/>
          <w14:textFill>
            <w14:solidFill>
              <w14:schemeClr w14:val="tx1"/>
            </w14:solidFill>
          </w14:textFill>
        </w:rPr>
        <w:t>3</w:t>
      </w:r>
      <w:r>
        <w:rPr>
          <w:rFonts w:hint="eastAsia" w:eastAsiaTheme="minorEastAsia"/>
          <w:b/>
          <w:bCs w:val="0"/>
          <w:color w:val="000000" w:themeColor="text1"/>
          <w:szCs w:val="21"/>
          <w:highlight w:val="none"/>
          <w:u w:val="single"/>
          <w14:textFill>
            <w14:solidFill>
              <w14:schemeClr w14:val="tx1"/>
            </w14:solidFill>
          </w14:textFill>
        </w:rPr>
        <w:t xml:space="preserve"> </w:t>
      </w:r>
      <w:r>
        <w:rPr>
          <w:rFonts w:eastAsiaTheme="minorEastAsia"/>
          <w:b/>
          <w:bCs w:val="0"/>
          <w:color w:val="000000" w:themeColor="text1"/>
          <w:szCs w:val="21"/>
          <w:highlight w:val="none"/>
          <w14:textFill>
            <w14:solidFill>
              <w14:schemeClr w14:val="tx1"/>
            </w14:solidFill>
          </w14:textFill>
        </w:rPr>
        <w:t>月</w:t>
      </w:r>
      <w:r>
        <w:rPr>
          <w:rFonts w:hint="eastAsia" w:eastAsiaTheme="minorEastAsia"/>
          <w:b/>
          <w:bCs w:val="0"/>
          <w:color w:val="000000" w:themeColor="text1"/>
          <w:szCs w:val="21"/>
          <w:highlight w:val="none"/>
          <w:u w:val="single"/>
          <w14:textFill>
            <w14:solidFill>
              <w14:schemeClr w14:val="tx1"/>
            </w14:solidFill>
          </w14:textFill>
        </w:rPr>
        <w:t xml:space="preserve"> </w:t>
      </w:r>
      <w:r>
        <w:rPr>
          <w:rFonts w:hint="eastAsia" w:eastAsiaTheme="minorEastAsia"/>
          <w:b/>
          <w:bCs w:val="0"/>
          <w:color w:val="000000" w:themeColor="text1"/>
          <w:szCs w:val="21"/>
          <w:highlight w:val="none"/>
          <w:u w:val="single"/>
          <w:lang w:val="en-US" w:eastAsia="zh-CN"/>
          <w14:textFill>
            <w14:solidFill>
              <w14:schemeClr w14:val="tx1"/>
            </w14:solidFill>
          </w14:textFill>
        </w:rPr>
        <w:t xml:space="preserve">17 </w:t>
      </w:r>
      <w:r>
        <w:rPr>
          <w:rFonts w:eastAsiaTheme="minorEastAsia"/>
          <w:b/>
          <w:bCs w:val="0"/>
          <w:color w:val="000000" w:themeColor="text1"/>
          <w:szCs w:val="21"/>
          <w:highlight w:val="none"/>
          <w14:textFill>
            <w14:solidFill>
              <w14:schemeClr w14:val="tx1"/>
            </w14:solidFill>
          </w14:textFill>
        </w:rPr>
        <w:t>日至</w:t>
      </w:r>
      <w:r>
        <w:rPr>
          <w:rFonts w:eastAsiaTheme="minorEastAsia"/>
          <w:b/>
          <w:bCs w:val="0"/>
          <w:color w:val="000000" w:themeColor="text1"/>
          <w:szCs w:val="21"/>
          <w:highlight w:val="none"/>
          <w:u w:val="single"/>
          <w14:textFill>
            <w14:solidFill>
              <w14:schemeClr w14:val="tx1"/>
            </w14:solidFill>
          </w14:textFill>
        </w:rPr>
        <w:t>202</w:t>
      </w:r>
      <w:r>
        <w:rPr>
          <w:rFonts w:hint="eastAsia" w:eastAsiaTheme="minorEastAsia"/>
          <w:b/>
          <w:bCs w:val="0"/>
          <w:color w:val="000000" w:themeColor="text1"/>
          <w:szCs w:val="21"/>
          <w:highlight w:val="none"/>
          <w:u w:val="single"/>
          <w:lang w:val="en-US" w:eastAsia="zh-CN"/>
          <w14:textFill>
            <w14:solidFill>
              <w14:schemeClr w14:val="tx1"/>
            </w14:solidFill>
          </w14:textFill>
        </w:rPr>
        <w:t>6</w:t>
      </w:r>
      <w:r>
        <w:rPr>
          <w:rFonts w:eastAsiaTheme="minorEastAsia"/>
          <w:b/>
          <w:bCs w:val="0"/>
          <w:color w:val="000000" w:themeColor="text1"/>
          <w:szCs w:val="21"/>
          <w:highlight w:val="none"/>
          <w14:textFill>
            <w14:solidFill>
              <w14:schemeClr w14:val="tx1"/>
            </w14:solidFill>
          </w14:textFill>
        </w:rPr>
        <w:t>年</w:t>
      </w:r>
      <w:r>
        <w:rPr>
          <w:rFonts w:hint="eastAsia" w:eastAsiaTheme="minorEastAsia"/>
          <w:b/>
          <w:bCs w:val="0"/>
          <w:color w:val="000000" w:themeColor="text1"/>
          <w:szCs w:val="21"/>
          <w:highlight w:val="none"/>
          <w:u w:val="single"/>
          <w14:textFill>
            <w14:solidFill>
              <w14:schemeClr w14:val="tx1"/>
            </w14:solidFill>
          </w14:textFill>
        </w:rPr>
        <w:t xml:space="preserve"> </w:t>
      </w:r>
      <w:r>
        <w:rPr>
          <w:rFonts w:hint="eastAsia" w:eastAsiaTheme="minorEastAsia"/>
          <w:b/>
          <w:bCs w:val="0"/>
          <w:color w:val="000000" w:themeColor="text1"/>
          <w:szCs w:val="21"/>
          <w:highlight w:val="none"/>
          <w:u w:val="single"/>
          <w:lang w:val="en-US" w:eastAsia="zh-CN"/>
          <w14:textFill>
            <w14:solidFill>
              <w14:schemeClr w14:val="tx1"/>
            </w14:solidFill>
          </w14:textFill>
        </w:rPr>
        <w:t>3</w:t>
      </w:r>
      <w:r>
        <w:rPr>
          <w:rFonts w:hint="eastAsia" w:eastAsiaTheme="minorEastAsia"/>
          <w:b/>
          <w:bCs w:val="0"/>
          <w:color w:val="000000" w:themeColor="text1"/>
          <w:szCs w:val="21"/>
          <w:highlight w:val="none"/>
          <w:u w:val="single"/>
          <w14:textFill>
            <w14:solidFill>
              <w14:schemeClr w14:val="tx1"/>
            </w14:solidFill>
          </w14:textFill>
        </w:rPr>
        <w:t xml:space="preserve"> </w:t>
      </w:r>
      <w:r>
        <w:rPr>
          <w:rFonts w:eastAsiaTheme="minorEastAsia"/>
          <w:b/>
          <w:bCs w:val="0"/>
          <w:color w:val="000000" w:themeColor="text1"/>
          <w:szCs w:val="21"/>
          <w:highlight w:val="none"/>
          <w14:textFill>
            <w14:solidFill>
              <w14:schemeClr w14:val="tx1"/>
            </w14:solidFill>
          </w14:textFill>
        </w:rPr>
        <w:t>月</w:t>
      </w:r>
      <w:r>
        <w:rPr>
          <w:rFonts w:hint="eastAsia" w:eastAsiaTheme="minorEastAsia"/>
          <w:b/>
          <w:bCs w:val="0"/>
          <w:color w:val="000000" w:themeColor="text1"/>
          <w:szCs w:val="21"/>
          <w:highlight w:val="none"/>
          <w:u w:val="single"/>
          <w14:textFill>
            <w14:solidFill>
              <w14:schemeClr w14:val="tx1"/>
            </w14:solidFill>
          </w14:textFill>
        </w:rPr>
        <w:t xml:space="preserve"> </w:t>
      </w:r>
      <w:r>
        <w:rPr>
          <w:rFonts w:hint="eastAsia" w:eastAsiaTheme="minorEastAsia"/>
          <w:b/>
          <w:bCs w:val="0"/>
          <w:color w:val="000000" w:themeColor="text1"/>
          <w:szCs w:val="21"/>
          <w:highlight w:val="none"/>
          <w:u w:val="single"/>
          <w:lang w:val="en-US" w:eastAsia="zh-CN"/>
          <w14:textFill>
            <w14:solidFill>
              <w14:schemeClr w14:val="tx1"/>
            </w14:solidFill>
          </w14:textFill>
        </w:rPr>
        <w:t xml:space="preserve">20 </w:t>
      </w:r>
      <w:r>
        <w:rPr>
          <w:rFonts w:eastAsiaTheme="minorEastAsia"/>
          <w:b/>
          <w:bCs w:val="0"/>
          <w:color w:val="000000" w:themeColor="text1"/>
          <w:szCs w:val="21"/>
          <w:highlight w:val="none"/>
          <w14:textFill>
            <w14:solidFill>
              <w14:schemeClr w14:val="tx1"/>
            </w14:solidFill>
          </w14:textFill>
        </w:rPr>
        <w:t>日；</w:t>
      </w:r>
    </w:p>
    <w:p w14:paraId="6211151A">
      <w:pPr>
        <w:spacing w:line="420" w:lineRule="exact"/>
        <w:ind w:firstLine="420"/>
        <w:jc w:val="left"/>
        <w:rPr>
          <w:rFonts w:eastAsiaTheme="minorEastAsia"/>
          <w:bCs/>
          <w:color w:val="000000" w:themeColor="text1"/>
          <w:szCs w:val="21"/>
          <w:highlight w:val="none"/>
          <w14:textFill>
            <w14:solidFill>
              <w14:schemeClr w14:val="tx1"/>
            </w14:solidFill>
          </w14:textFill>
        </w:rPr>
      </w:pPr>
      <w:r>
        <w:rPr>
          <w:rFonts w:eastAsiaTheme="minorEastAsia"/>
          <w:bCs/>
          <w:color w:val="000000" w:themeColor="text1"/>
          <w:szCs w:val="21"/>
          <w:highlight w:val="none"/>
          <w14:textFill>
            <w14:solidFill>
              <w14:schemeClr w14:val="tx1"/>
            </w14:solidFill>
          </w14:textFill>
        </w:rPr>
        <w:t>4.2谈判文件获取方式：供应商登录“徐圩新区公共资源交易服务平台”（网址“http://ggzy.xwxq.gov.cn/”）获取，否则响应文件不予接收；</w:t>
      </w:r>
    </w:p>
    <w:p w14:paraId="44636C5A">
      <w:pPr>
        <w:spacing w:line="420" w:lineRule="exact"/>
        <w:ind w:firstLine="420"/>
        <w:rPr>
          <w:rFonts w:eastAsiaTheme="minorEastAsia"/>
          <w:bCs/>
          <w:color w:val="000000" w:themeColor="text1"/>
          <w:szCs w:val="21"/>
          <w:highlight w:val="none"/>
          <w14:textFill>
            <w14:solidFill>
              <w14:schemeClr w14:val="tx1"/>
            </w14:solidFill>
          </w14:textFill>
        </w:rPr>
      </w:pPr>
      <w:r>
        <w:rPr>
          <w:rFonts w:ascii="Segoe UI Symbol" w:hAnsi="Segoe UI Symbol" w:cs="Segoe UI Symbol" w:eastAsiaTheme="minorEastAsia"/>
          <w:bCs/>
          <w:color w:val="000000" w:themeColor="text1"/>
          <w:szCs w:val="21"/>
          <w:highlight w:val="none"/>
          <w14:textFill>
            <w14:solidFill>
              <w14:schemeClr w14:val="tx1"/>
            </w14:solidFill>
          </w14:textFill>
        </w:rPr>
        <w:t>★</w:t>
      </w:r>
      <w:r>
        <w:rPr>
          <w:rFonts w:eastAsiaTheme="minorEastAsia"/>
          <w:bCs/>
          <w:color w:val="000000" w:themeColor="text1"/>
          <w:szCs w:val="21"/>
          <w:highlight w:val="none"/>
          <w14:textFill>
            <w14:solidFill>
              <w14:schemeClr w14:val="tx1"/>
            </w14:solidFill>
          </w14:textFill>
        </w:rPr>
        <w:t>4.</w:t>
      </w:r>
      <w:r>
        <w:rPr>
          <w:rFonts w:hint="eastAsia" w:eastAsiaTheme="minorEastAsia"/>
          <w:bCs/>
          <w:color w:val="000000" w:themeColor="text1"/>
          <w:szCs w:val="21"/>
          <w:highlight w:val="none"/>
          <w14:textFill>
            <w14:solidFill>
              <w14:schemeClr w14:val="tx1"/>
            </w14:solidFill>
          </w14:textFill>
        </w:rPr>
        <w:t>3</w:t>
      </w:r>
      <w:r>
        <w:rPr>
          <w:rFonts w:eastAsiaTheme="minorEastAsia"/>
          <w:bCs/>
          <w:color w:val="000000" w:themeColor="text1"/>
          <w:szCs w:val="21"/>
          <w:highlight w:val="none"/>
          <w14:textFill>
            <w14:solidFill>
              <w14:schemeClr w14:val="tx1"/>
            </w14:solidFill>
          </w14:textFill>
        </w:rPr>
        <w:t>供应商应在谈判响应文件递交截止时间前随时查看“徐圩新区公共资源交易服务平台”中有关该项目谈判文件的答疑和相关内容。否则，因此引起的后果由供应商自行承担。</w:t>
      </w:r>
    </w:p>
    <w:p w14:paraId="35408460">
      <w:pPr>
        <w:spacing w:line="420" w:lineRule="exact"/>
        <w:ind w:firstLine="420"/>
        <w:rPr>
          <w:rFonts w:eastAsiaTheme="minorEastAsia"/>
          <w:bCs/>
          <w:color w:val="000000" w:themeColor="text1"/>
          <w:szCs w:val="21"/>
          <w:highlight w:val="none"/>
          <w:u w:val="single"/>
          <w14:textFill>
            <w14:solidFill>
              <w14:schemeClr w14:val="tx1"/>
            </w14:solidFill>
          </w14:textFill>
        </w:rPr>
      </w:pPr>
      <w:r>
        <w:rPr>
          <w:rFonts w:eastAsiaTheme="minorEastAsia"/>
          <w:bCs/>
          <w:color w:val="000000" w:themeColor="text1"/>
          <w:szCs w:val="21"/>
          <w:highlight w:val="none"/>
          <w14:textFill>
            <w14:solidFill>
              <w14:schemeClr w14:val="tx1"/>
            </w14:solidFill>
          </w14:textFill>
        </w:rPr>
        <w:t>注：初次在“徐圩新区公共资源交易服务平台”注册的供应商请综合考虑注册和审核时间（审核时间为2个工作日内），由此造成无法</w:t>
      </w:r>
      <w:r>
        <w:rPr>
          <w:rFonts w:hint="eastAsia" w:eastAsiaTheme="minorEastAsia"/>
          <w:bCs/>
          <w:color w:val="000000" w:themeColor="text1"/>
          <w:szCs w:val="21"/>
          <w:highlight w:val="none"/>
          <w14:textFill>
            <w14:solidFill>
              <w14:schemeClr w14:val="tx1"/>
            </w14:solidFill>
          </w14:textFill>
        </w:rPr>
        <w:t>获取文件</w:t>
      </w:r>
      <w:r>
        <w:rPr>
          <w:rFonts w:eastAsiaTheme="minorEastAsia"/>
          <w:bCs/>
          <w:color w:val="000000" w:themeColor="text1"/>
          <w:szCs w:val="21"/>
          <w:highlight w:val="none"/>
          <w14:textFill>
            <w14:solidFill>
              <w14:schemeClr w14:val="tx1"/>
            </w14:solidFill>
          </w14:textFill>
        </w:rPr>
        <w:t>参与采购活动的，后果自行承担。</w:t>
      </w:r>
    </w:p>
    <w:p w14:paraId="07231BE3">
      <w:pPr>
        <w:spacing w:line="420" w:lineRule="exact"/>
        <w:ind w:firstLine="422"/>
        <w:rPr>
          <w:rFonts w:eastAsiaTheme="minorEastAsia"/>
          <w:b/>
          <w:color w:val="000000" w:themeColor="text1"/>
          <w:szCs w:val="21"/>
          <w:highlight w:val="none"/>
          <w14:textFill>
            <w14:solidFill>
              <w14:schemeClr w14:val="tx1"/>
            </w14:solidFill>
          </w14:textFill>
        </w:rPr>
      </w:pPr>
      <w:r>
        <w:rPr>
          <w:rFonts w:eastAsiaTheme="minorEastAsia"/>
          <w:b/>
          <w:color w:val="000000" w:themeColor="text1"/>
          <w:szCs w:val="21"/>
          <w:highlight w:val="none"/>
          <w14:textFill>
            <w14:solidFill>
              <w14:schemeClr w14:val="tx1"/>
            </w14:solidFill>
          </w14:textFill>
        </w:rPr>
        <w:t>5.响应文件递交截止时间及谈判方式</w:t>
      </w:r>
    </w:p>
    <w:p w14:paraId="68F1921A">
      <w:pPr>
        <w:spacing w:line="420" w:lineRule="exact"/>
        <w:ind w:firstLine="420"/>
        <w:rPr>
          <w:rFonts w:eastAsiaTheme="minorEastAsia"/>
          <w:b/>
          <w:bCs w:val="0"/>
          <w:color w:val="000000" w:themeColor="text1"/>
          <w:szCs w:val="21"/>
          <w:highlight w:val="none"/>
          <w14:textFill>
            <w14:solidFill>
              <w14:schemeClr w14:val="tx1"/>
            </w14:solidFill>
          </w14:textFill>
        </w:rPr>
      </w:pPr>
      <w:r>
        <w:rPr>
          <w:rFonts w:eastAsiaTheme="minorEastAsia"/>
          <w:b/>
          <w:bCs w:val="0"/>
          <w:color w:val="000000" w:themeColor="text1"/>
          <w:szCs w:val="21"/>
          <w:highlight w:val="none"/>
          <w14:textFill>
            <w14:solidFill>
              <w14:schemeClr w14:val="tx1"/>
            </w14:solidFill>
          </w14:textFill>
        </w:rPr>
        <w:t>5.1响应文件递交截止时间为：</w:t>
      </w:r>
      <w:r>
        <w:rPr>
          <w:rFonts w:eastAsiaTheme="minorEastAsia"/>
          <w:b/>
          <w:bCs w:val="0"/>
          <w:color w:val="000000" w:themeColor="text1"/>
          <w:szCs w:val="21"/>
          <w:highlight w:val="none"/>
          <w:u w:val="single"/>
          <w14:textFill>
            <w14:solidFill>
              <w14:schemeClr w14:val="tx1"/>
            </w14:solidFill>
          </w14:textFill>
        </w:rPr>
        <w:t>202</w:t>
      </w:r>
      <w:r>
        <w:rPr>
          <w:rFonts w:hint="eastAsia" w:eastAsiaTheme="minorEastAsia"/>
          <w:b/>
          <w:bCs w:val="0"/>
          <w:color w:val="000000" w:themeColor="text1"/>
          <w:szCs w:val="21"/>
          <w:highlight w:val="none"/>
          <w:u w:val="single"/>
          <w:lang w:val="en-US" w:eastAsia="zh-CN"/>
          <w14:textFill>
            <w14:solidFill>
              <w14:schemeClr w14:val="tx1"/>
            </w14:solidFill>
          </w14:textFill>
        </w:rPr>
        <w:t>6</w:t>
      </w:r>
      <w:r>
        <w:rPr>
          <w:rFonts w:eastAsiaTheme="minorEastAsia"/>
          <w:b/>
          <w:bCs w:val="0"/>
          <w:color w:val="000000" w:themeColor="text1"/>
          <w:szCs w:val="21"/>
          <w:highlight w:val="none"/>
          <w14:textFill>
            <w14:solidFill>
              <w14:schemeClr w14:val="tx1"/>
            </w14:solidFill>
          </w14:textFill>
        </w:rPr>
        <w:t>年</w:t>
      </w:r>
      <w:r>
        <w:rPr>
          <w:rFonts w:eastAsiaTheme="minorEastAsia"/>
          <w:b/>
          <w:bCs w:val="0"/>
          <w:color w:val="000000" w:themeColor="text1"/>
          <w:szCs w:val="21"/>
          <w:highlight w:val="none"/>
          <w:u w:val="single"/>
          <w14:textFill>
            <w14:solidFill>
              <w14:schemeClr w14:val="tx1"/>
            </w14:solidFill>
          </w14:textFill>
        </w:rPr>
        <w:t xml:space="preserve"> </w:t>
      </w:r>
      <w:r>
        <w:rPr>
          <w:rFonts w:hint="eastAsia" w:eastAsiaTheme="minorEastAsia"/>
          <w:b/>
          <w:bCs w:val="0"/>
          <w:color w:val="000000" w:themeColor="text1"/>
          <w:szCs w:val="21"/>
          <w:highlight w:val="none"/>
          <w:u w:val="single"/>
          <w:lang w:val="en-US" w:eastAsia="zh-CN"/>
          <w14:textFill>
            <w14:solidFill>
              <w14:schemeClr w14:val="tx1"/>
            </w14:solidFill>
          </w14:textFill>
        </w:rPr>
        <w:t>3</w:t>
      </w:r>
      <w:r>
        <w:rPr>
          <w:rFonts w:hint="eastAsia" w:eastAsiaTheme="minorEastAsia"/>
          <w:b/>
          <w:bCs w:val="0"/>
          <w:color w:val="000000" w:themeColor="text1"/>
          <w:szCs w:val="21"/>
          <w:highlight w:val="none"/>
          <w:u w:val="single"/>
          <w14:textFill>
            <w14:solidFill>
              <w14:schemeClr w14:val="tx1"/>
            </w14:solidFill>
          </w14:textFill>
        </w:rPr>
        <w:t xml:space="preserve"> </w:t>
      </w:r>
      <w:r>
        <w:rPr>
          <w:rFonts w:eastAsiaTheme="minorEastAsia"/>
          <w:b/>
          <w:bCs w:val="0"/>
          <w:color w:val="000000" w:themeColor="text1"/>
          <w:szCs w:val="21"/>
          <w:highlight w:val="none"/>
          <w14:textFill>
            <w14:solidFill>
              <w14:schemeClr w14:val="tx1"/>
            </w14:solidFill>
          </w14:textFill>
        </w:rPr>
        <w:t>月</w:t>
      </w:r>
      <w:r>
        <w:rPr>
          <w:rFonts w:hint="eastAsia" w:eastAsiaTheme="minorEastAsia"/>
          <w:b/>
          <w:bCs w:val="0"/>
          <w:color w:val="000000" w:themeColor="text1"/>
          <w:szCs w:val="21"/>
          <w:highlight w:val="none"/>
          <w:u w:val="single"/>
          <w14:textFill>
            <w14:solidFill>
              <w14:schemeClr w14:val="tx1"/>
            </w14:solidFill>
          </w14:textFill>
        </w:rPr>
        <w:t xml:space="preserve"> </w:t>
      </w:r>
      <w:r>
        <w:rPr>
          <w:rFonts w:hint="eastAsia" w:eastAsiaTheme="minorEastAsia"/>
          <w:b/>
          <w:bCs w:val="0"/>
          <w:color w:val="000000" w:themeColor="text1"/>
          <w:szCs w:val="21"/>
          <w:highlight w:val="none"/>
          <w:u w:val="single"/>
          <w:lang w:val="en-US" w:eastAsia="zh-CN"/>
          <w14:textFill>
            <w14:solidFill>
              <w14:schemeClr w14:val="tx1"/>
            </w14:solidFill>
          </w14:textFill>
        </w:rPr>
        <w:t xml:space="preserve">23 </w:t>
      </w:r>
      <w:r>
        <w:rPr>
          <w:rFonts w:eastAsiaTheme="minorEastAsia"/>
          <w:b/>
          <w:bCs w:val="0"/>
          <w:color w:val="000000" w:themeColor="text1"/>
          <w:szCs w:val="21"/>
          <w:highlight w:val="none"/>
          <w14:textFill>
            <w14:solidFill>
              <w14:schemeClr w14:val="tx1"/>
            </w14:solidFill>
          </w14:textFill>
        </w:rPr>
        <w:t>日</w:t>
      </w:r>
      <w:r>
        <w:rPr>
          <w:rFonts w:hint="eastAsia" w:eastAsiaTheme="minorEastAsia"/>
          <w:b/>
          <w:bCs w:val="0"/>
          <w:color w:val="000000" w:themeColor="text1"/>
          <w:szCs w:val="21"/>
          <w:highlight w:val="none"/>
          <w:u w:val="single"/>
          <w14:textFill>
            <w14:solidFill>
              <w14:schemeClr w14:val="tx1"/>
            </w14:solidFill>
          </w14:textFill>
        </w:rPr>
        <w:t xml:space="preserve"> </w:t>
      </w:r>
      <w:r>
        <w:rPr>
          <w:rFonts w:hint="eastAsia" w:eastAsiaTheme="minorEastAsia"/>
          <w:b/>
          <w:bCs w:val="0"/>
          <w:color w:val="000000" w:themeColor="text1"/>
          <w:szCs w:val="21"/>
          <w:highlight w:val="none"/>
          <w:u w:val="single"/>
          <w:lang w:val="en-US" w:eastAsia="zh-CN"/>
          <w14:textFill>
            <w14:solidFill>
              <w14:schemeClr w14:val="tx1"/>
            </w14:solidFill>
          </w14:textFill>
        </w:rPr>
        <w:t xml:space="preserve">9:30 </w:t>
      </w:r>
      <w:r>
        <w:rPr>
          <w:rFonts w:eastAsiaTheme="minorEastAsia"/>
          <w:b/>
          <w:bCs w:val="0"/>
          <w:color w:val="000000" w:themeColor="text1"/>
          <w:szCs w:val="21"/>
          <w:highlight w:val="none"/>
          <w14:textFill>
            <w14:solidFill>
              <w14:schemeClr w14:val="tx1"/>
            </w14:solidFill>
          </w14:textFill>
        </w:rPr>
        <w:t>；</w:t>
      </w:r>
    </w:p>
    <w:p w14:paraId="167EE9F5">
      <w:pPr>
        <w:pStyle w:val="108"/>
        <w:adjustRightInd w:val="0"/>
        <w:snapToGrid w:val="0"/>
        <w:spacing w:line="420" w:lineRule="exact"/>
        <w:rPr>
          <w:rFonts w:eastAsiaTheme="minorEastAsia"/>
          <w:bCs/>
          <w:color w:val="000000" w:themeColor="text1"/>
          <w:sz w:val="21"/>
          <w:szCs w:val="21"/>
          <w:highlight w:val="none"/>
          <w14:textFill>
            <w14:solidFill>
              <w14:schemeClr w14:val="tx1"/>
            </w14:solidFill>
          </w14:textFill>
        </w:rPr>
      </w:pPr>
      <w:r>
        <w:rPr>
          <w:rFonts w:eastAsiaTheme="minorEastAsia"/>
          <w:bCs/>
          <w:color w:val="000000" w:themeColor="text1"/>
          <w:sz w:val="21"/>
          <w:szCs w:val="21"/>
          <w:highlight w:val="none"/>
          <w14:textFill>
            <w14:solidFill>
              <w14:schemeClr w14:val="tx1"/>
            </w14:solidFill>
          </w14:textFill>
        </w:rPr>
        <w:t>5.2本项目采用远程不见面线上开展谈判及评审。具体要求详见谈判文件。</w:t>
      </w:r>
    </w:p>
    <w:p w14:paraId="1DE20ECF">
      <w:pPr>
        <w:spacing w:line="420" w:lineRule="exact"/>
        <w:ind w:firstLine="422"/>
        <w:rPr>
          <w:rFonts w:eastAsiaTheme="minorEastAsia"/>
          <w:bCs/>
          <w:color w:val="000000" w:themeColor="text1"/>
          <w:szCs w:val="21"/>
          <w:highlight w:val="none"/>
          <w14:textFill>
            <w14:solidFill>
              <w14:schemeClr w14:val="tx1"/>
            </w14:solidFill>
          </w14:textFill>
        </w:rPr>
      </w:pPr>
      <w:r>
        <w:rPr>
          <w:b/>
          <w:bCs/>
          <w:szCs w:val="21"/>
          <w:highlight w:val="none"/>
        </w:rPr>
        <w:t>5.3逾期上传响应文件的，采购人不予受理。</w:t>
      </w:r>
    </w:p>
    <w:p w14:paraId="045ED486">
      <w:pPr>
        <w:spacing w:line="420" w:lineRule="exact"/>
        <w:ind w:firstLine="422"/>
        <w:rPr>
          <w:rFonts w:eastAsiaTheme="minorEastAsia"/>
          <w:b/>
          <w:color w:val="000000" w:themeColor="text1"/>
          <w:szCs w:val="21"/>
          <w:highlight w:val="none"/>
          <w14:textFill>
            <w14:solidFill>
              <w14:schemeClr w14:val="tx1"/>
            </w14:solidFill>
          </w14:textFill>
        </w:rPr>
      </w:pPr>
      <w:r>
        <w:rPr>
          <w:rFonts w:eastAsiaTheme="minorEastAsia"/>
          <w:b/>
          <w:color w:val="000000" w:themeColor="text1"/>
          <w:szCs w:val="21"/>
          <w:highlight w:val="none"/>
          <w14:textFill>
            <w14:solidFill>
              <w14:schemeClr w14:val="tx1"/>
            </w14:solidFill>
          </w14:textFill>
        </w:rPr>
        <w:t>6.评审入围条件及评审办法</w:t>
      </w:r>
    </w:p>
    <w:p w14:paraId="450BCA6F">
      <w:pPr>
        <w:pStyle w:val="108"/>
        <w:adjustRightInd w:val="0"/>
        <w:snapToGrid w:val="0"/>
        <w:spacing w:line="420" w:lineRule="exact"/>
        <w:rPr>
          <w:b/>
          <w:bCs/>
          <w:sz w:val="21"/>
          <w:szCs w:val="21"/>
          <w:highlight w:val="none"/>
        </w:rPr>
      </w:pPr>
      <w:r>
        <w:rPr>
          <w:sz w:val="21"/>
          <w:szCs w:val="21"/>
          <w:highlight w:val="none"/>
        </w:rPr>
        <w:t>6.1</w:t>
      </w:r>
      <w:r>
        <w:rPr>
          <w:rFonts w:eastAsiaTheme="minorEastAsia"/>
          <w:sz w:val="21"/>
          <w:szCs w:val="21"/>
          <w:highlight w:val="none"/>
        </w:rPr>
        <w:t>评审</w:t>
      </w:r>
      <w:r>
        <w:rPr>
          <w:sz w:val="21"/>
          <w:szCs w:val="21"/>
          <w:highlight w:val="none"/>
        </w:rPr>
        <w:t>入围条件：</w:t>
      </w:r>
      <w:r>
        <w:rPr>
          <w:rFonts w:hint="eastAsia"/>
          <w:b/>
          <w:bCs/>
          <w:sz w:val="21"/>
          <w:szCs w:val="21"/>
          <w:highlight w:val="none"/>
          <w:u w:val="single"/>
        </w:rPr>
        <w:t>供应商响应文件响应函中载明的报价高于采购人控制价</w:t>
      </w:r>
      <w:r>
        <w:rPr>
          <w:rFonts w:hint="eastAsia"/>
          <w:b/>
          <w:bCs/>
          <w:sz w:val="21"/>
          <w:szCs w:val="21"/>
          <w:highlight w:val="none"/>
          <w:u w:val="single"/>
          <w:lang w:val="en-US" w:eastAsia="zh-CN"/>
        </w:rPr>
        <w:t>或单项价格高于单项控制价</w:t>
      </w:r>
      <w:r>
        <w:rPr>
          <w:rFonts w:hint="eastAsia"/>
          <w:b/>
          <w:bCs/>
          <w:sz w:val="21"/>
          <w:szCs w:val="21"/>
          <w:highlight w:val="none"/>
          <w:u w:val="single"/>
        </w:rPr>
        <w:t>的，不再进行后续评审。</w:t>
      </w:r>
    </w:p>
    <w:p w14:paraId="7061CF2D">
      <w:pPr>
        <w:pStyle w:val="108"/>
        <w:adjustRightInd w:val="0"/>
        <w:snapToGrid w:val="0"/>
        <w:spacing w:line="420" w:lineRule="exact"/>
        <w:rPr>
          <w:rFonts w:eastAsiaTheme="minorEastAsia"/>
          <w:color w:val="000000" w:themeColor="text1"/>
          <w:sz w:val="21"/>
          <w:szCs w:val="21"/>
          <w:highlight w:val="none"/>
          <w14:textFill>
            <w14:solidFill>
              <w14:schemeClr w14:val="tx1"/>
            </w14:solidFill>
          </w14:textFill>
        </w:rPr>
      </w:pPr>
      <w:r>
        <w:rPr>
          <w:rFonts w:eastAsiaTheme="minorEastAsia"/>
          <w:color w:val="000000" w:themeColor="text1"/>
          <w:sz w:val="21"/>
          <w:szCs w:val="21"/>
          <w:highlight w:val="none"/>
          <w14:textFill>
            <w14:solidFill>
              <w14:schemeClr w14:val="tx1"/>
            </w14:solidFill>
          </w14:textFill>
        </w:rPr>
        <w:t>6.2评审办法：经评审的最低价法，谈判评审小组对满足谈判文件实质要求的响应文件进行评审，</w:t>
      </w:r>
      <w:r>
        <w:rPr>
          <w:rFonts w:eastAsiaTheme="minorEastAsia"/>
          <w:b/>
          <w:bCs/>
          <w:color w:val="000000" w:themeColor="text1"/>
          <w:sz w:val="21"/>
          <w:szCs w:val="21"/>
          <w:highlight w:val="none"/>
          <w14:textFill>
            <w14:solidFill>
              <w14:schemeClr w14:val="tx1"/>
            </w14:solidFill>
          </w14:textFill>
        </w:rPr>
        <w:t>按最终报价由低到高的顺序推荐成交候选人。</w:t>
      </w:r>
    </w:p>
    <w:p w14:paraId="7355DCCB">
      <w:pPr>
        <w:spacing w:line="420" w:lineRule="exact"/>
        <w:ind w:firstLine="422"/>
        <w:rPr>
          <w:rFonts w:eastAsiaTheme="minorEastAsia"/>
          <w:b/>
          <w:color w:val="000000" w:themeColor="text1"/>
          <w:szCs w:val="21"/>
          <w:highlight w:val="none"/>
          <w14:textFill>
            <w14:solidFill>
              <w14:schemeClr w14:val="tx1"/>
            </w14:solidFill>
          </w14:textFill>
        </w:rPr>
      </w:pPr>
      <w:r>
        <w:rPr>
          <w:rFonts w:eastAsiaTheme="minorEastAsia"/>
          <w:b/>
          <w:color w:val="000000" w:themeColor="text1"/>
          <w:szCs w:val="21"/>
          <w:highlight w:val="none"/>
          <w14:textFill>
            <w14:solidFill>
              <w14:schemeClr w14:val="tx1"/>
            </w14:solidFill>
          </w14:textFill>
        </w:rPr>
        <w:t>7.谈判保证金</w:t>
      </w:r>
    </w:p>
    <w:p w14:paraId="400443DE">
      <w:pPr>
        <w:spacing w:line="420" w:lineRule="exact"/>
        <w:ind w:firstLine="420"/>
        <w:rPr>
          <w:highlight w:val="none"/>
        </w:rPr>
      </w:pPr>
      <w:r>
        <w:rPr>
          <w:highlight w:val="none"/>
        </w:rPr>
        <w:t>本项目谈判保证金为：</w:t>
      </w:r>
      <w:r>
        <w:rPr>
          <w:rFonts w:hint="eastAsia"/>
          <w:highlight w:val="none"/>
          <w:u w:val="single"/>
          <w:lang w:val="en-US" w:eastAsia="zh-CN"/>
        </w:rPr>
        <w:t xml:space="preserve"> </w:t>
      </w:r>
      <w:r>
        <w:rPr>
          <w:rFonts w:hint="eastAsia"/>
          <w:b/>
          <w:bCs/>
          <w:highlight w:val="none"/>
          <w:u w:val="single"/>
          <w:lang w:val="en-US" w:eastAsia="zh-CN"/>
        </w:rPr>
        <w:t>0.6</w:t>
      </w:r>
      <w:r>
        <w:rPr>
          <w:highlight w:val="none"/>
        </w:rPr>
        <w:t>万元，供应商必须于响应文件递交截止时间前缴纳谈判保证金。采用转账、电汇、网银等形式缴纳谈判保证金的，保证金应以供应商的存款账户缴纳，从他人账户缴纳的谈判保证金无效；采用银行保函形式缴纳谈判保证金的，保证金应由供应商的存款账户开户银行出具，否则无效。超出谈判文件规定时间和要求递交谈判保证金的，采购人将视为不响应谈判文件而取消其谈判资格。</w:t>
      </w:r>
    </w:p>
    <w:p w14:paraId="7EAC79AE">
      <w:pPr>
        <w:spacing w:line="420" w:lineRule="exact"/>
        <w:ind w:firstLine="420"/>
        <w:rPr>
          <w:highlight w:val="none"/>
        </w:rPr>
      </w:pPr>
      <w:r>
        <w:rPr>
          <w:highlight w:val="none"/>
        </w:rPr>
        <w:t>注：1、如采用银行保函形式谈判保证金，</w:t>
      </w:r>
      <w:r>
        <w:rPr>
          <w:b/>
          <w:bCs/>
          <w:highlight w:val="none"/>
        </w:rPr>
        <w:t>须确保保函原件在递交响应文件截止时间前一工作日（含）前送达（邮寄）至采购人处</w:t>
      </w:r>
      <w:r>
        <w:rPr>
          <w:highlight w:val="none"/>
        </w:rPr>
        <w:t>，并承诺真实性，若发现弄虚作假，将取消成交资格并纳入徐圩新区公共资源交易“黑名单”管理。</w:t>
      </w:r>
    </w:p>
    <w:p w14:paraId="39C506D7">
      <w:pPr>
        <w:spacing w:line="420" w:lineRule="exact"/>
        <w:ind w:firstLine="420"/>
        <w:rPr>
          <w:highlight w:val="none"/>
        </w:rPr>
      </w:pPr>
      <w:r>
        <w:rPr>
          <w:rFonts w:hint="eastAsia"/>
          <w:highlight w:val="none"/>
        </w:rPr>
        <w:t>2、</w:t>
      </w:r>
      <w:r>
        <w:rPr>
          <w:highlight w:val="none"/>
        </w:rPr>
        <w:t>如发现谈判保证金未按规定退还等相关违法违规情形，可以向</w:t>
      </w:r>
      <w:r>
        <w:rPr>
          <w:rFonts w:hint="eastAsia"/>
          <w:highlight w:val="none"/>
          <w:lang w:val="en-US" w:eastAsia="zh-CN"/>
        </w:rPr>
        <w:t>港控集团</w:t>
      </w:r>
      <w:r>
        <w:rPr>
          <w:rFonts w:hint="eastAsia"/>
          <w:highlight w:val="none"/>
        </w:rPr>
        <w:t>审计法务部</w:t>
      </w:r>
      <w:r>
        <w:rPr>
          <w:highlight w:val="none"/>
        </w:rPr>
        <w:t>投诉，监管服务电话：0518-82252522。</w:t>
      </w:r>
    </w:p>
    <w:p w14:paraId="56A43F0B">
      <w:pPr>
        <w:spacing w:line="420" w:lineRule="exact"/>
        <w:ind w:firstLine="422"/>
        <w:rPr>
          <w:rFonts w:eastAsiaTheme="minorEastAsia"/>
          <w:b/>
          <w:color w:val="000000" w:themeColor="text1"/>
          <w:szCs w:val="21"/>
          <w:highlight w:val="none"/>
          <w14:textFill>
            <w14:solidFill>
              <w14:schemeClr w14:val="tx1"/>
            </w14:solidFill>
          </w14:textFill>
        </w:rPr>
      </w:pPr>
      <w:r>
        <w:rPr>
          <w:rFonts w:hint="eastAsia" w:eastAsiaTheme="minorEastAsia"/>
          <w:b/>
          <w:color w:val="000000" w:themeColor="text1"/>
          <w:szCs w:val="21"/>
          <w:highlight w:val="none"/>
          <w14:textFill>
            <w14:solidFill>
              <w14:schemeClr w14:val="tx1"/>
            </w14:solidFill>
          </w14:textFill>
        </w:rPr>
        <w:t>8</w:t>
      </w:r>
      <w:r>
        <w:rPr>
          <w:rFonts w:eastAsiaTheme="minorEastAsia"/>
          <w:b/>
          <w:color w:val="000000" w:themeColor="text1"/>
          <w:szCs w:val="21"/>
          <w:highlight w:val="none"/>
          <w14:textFill>
            <w14:solidFill>
              <w14:schemeClr w14:val="tx1"/>
            </w14:solidFill>
          </w14:textFill>
        </w:rPr>
        <w:t>.发布公告媒介</w:t>
      </w:r>
    </w:p>
    <w:p w14:paraId="76137A23">
      <w:pPr>
        <w:shd w:val="clear"/>
        <w:spacing w:line="420" w:lineRule="exact"/>
        <w:ind w:firstLine="422"/>
        <w:rPr>
          <w:highlight w:val="none"/>
        </w:rPr>
      </w:pPr>
      <w:r>
        <w:rPr>
          <w:rFonts w:hint="eastAsia" w:eastAsiaTheme="minorEastAsia"/>
          <w:b/>
          <w:color w:val="000000" w:themeColor="text1"/>
          <w:szCs w:val="21"/>
          <w:highlight w:val="none"/>
          <w14:textFill>
            <w14:solidFill>
              <w14:schemeClr w14:val="tx1"/>
            </w14:solidFill>
          </w14:textFill>
        </w:rPr>
        <w:t>本次谈判公告在徐圩新区公共资源交易服务平台发布</w:t>
      </w:r>
      <w:r>
        <w:rPr>
          <w:rFonts w:hint="eastAsia" w:eastAsiaTheme="minorEastAsia"/>
          <w:b/>
          <w:color w:val="000000" w:themeColor="text1"/>
          <w:szCs w:val="21"/>
          <w:highlight w:val="none"/>
          <w:lang w:eastAsia="zh-CN"/>
          <w14:textFill>
            <w14:solidFill>
              <w14:schemeClr w14:val="tx1"/>
            </w14:solidFill>
          </w14:textFill>
        </w:rPr>
        <w:t>，</w:t>
      </w:r>
      <w:r>
        <w:rPr>
          <w:rFonts w:hint="eastAsia" w:ascii="宋体" w:hAnsi="宋体" w:eastAsia="宋体" w:cs="宋体"/>
          <w:b/>
          <w:bCs/>
          <w:i w:val="0"/>
          <w:iCs w:val="0"/>
          <w:caps w:val="0"/>
          <w:color w:val="333333"/>
          <w:spacing w:val="0"/>
          <w:sz w:val="21"/>
          <w:szCs w:val="21"/>
          <w:highlight w:val="none"/>
          <w:shd w:val="clear" w:fill="FFFFFF"/>
        </w:rPr>
        <w:t>同步推送至中国招标投标公共服务平台</w:t>
      </w:r>
      <w:r>
        <w:rPr>
          <w:rFonts w:hint="eastAsia" w:eastAsiaTheme="minorEastAsia"/>
          <w:b/>
          <w:color w:val="000000" w:themeColor="text1"/>
          <w:szCs w:val="21"/>
          <w:highlight w:val="none"/>
          <w14:textFill>
            <w14:solidFill>
              <w14:schemeClr w14:val="tx1"/>
            </w14:solidFill>
          </w14:textFill>
        </w:rPr>
        <w:t>。</w:t>
      </w:r>
    </w:p>
    <w:p w14:paraId="64417531">
      <w:pPr>
        <w:spacing w:line="420" w:lineRule="exact"/>
        <w:ind w:firstLine="422"/>
        <w:jc w:val="left"/>
        <w:rPr>
          <w:rFonts w:eastAsiaTheme="minorEastAsia"/>
          <w:b/>
          <w:szCs w:val="21"/>
          <w:highlight w:val="none"/>
        </w:rPr>
      </w:pPr>
      <w:r>
        <w:rPr>
          <w:rFonts w:hint="eastAsia" w:eastAsiaTheme="minorEastAsia"/>
          <w:b/>
          <w:szCs w:val="21"/>
          <w:highlight w:val="none"/>
        </w:rPr>
        <w:t>9</w:t>
      </w:r>
      <w:r>
        <w:rPr>
          <w:rFonts w:eastAsiaTheme="minorEastAsia"/>
          <w:b/>
          <w:szCs w:val="21"/>
          <w:highlight w:val="none"/>
        </w:rPr>
        <w:t>.本次竞争性谈判报名相关事项联系人及联系电话：</w:t>
      </w:r>
    </w:p>
    <w:bookmarkEnd w:id="3"/>
    <w:bookmarkEnd w:id="4"/>
    <w:bookmarkEnd w:id="5"/>
    <w:bookmarkEnd w:id="6"/>
    <w:bookmarkEnd w:id="7"/>
    <w:bookmarkEnd w:id="8"/>
    <w:bookmarkEnd w:id="9"/>
    <w:bookmarkEnd w:id="13"/>
    <w:tbl>
      <w:tblPr>
        <w:tblStyle w:val="49"/>
        <w:tblW w:w="0" w:type="auto"/>
        <w:tblInd w:w="0" w:type="dxa"/>
        <w:tblLayout w:type="fixed"/>
        <w:tblCellMar>
          <w:top w:w="0" w:type="dxa"/>
          <w:left w:w="108" w:type="dxa"/>
          <w:bottom w:w="0" w:type="dxa"/>
          <w:right w:w="108" w:type="dxa"/>
        </w:tblCellMar>
      </w:tblPr>
      <w:tblGrid>
        <w:gridCol w:w="4501"/>
        <w:gridCol w:w="4503"/>
      </w:tblGrid>
      <w:tr w14:paraId="6F5ABADD">
        <w:tblPrEx>
          <w:tblCellMar>
            <w:top w:w="0" w:type="dxa"/>
            <w:left w:w="108" w:type="dxa"/>
            <w:bottom w:w="0" w:type="dxa"/>
            <w:right w:w="108" w:type="dxa"/>
          </w:tblCellMar>
        </w:tblPrEx>
        <w:tc>
          <w:tcPr>
            <w:tcW w:w="4501" w:type="dxa"/>
            <w:vAlign w:val="center"/>
          </w:tcPr>
          <w:p w14:paraId="11818526">
            <w:pPr>
              <w:spacing w:line="420" w:lineRule="exact"/>
              <w:ind w:firstLine="0" w:firstLineChars="0"/>
              <w:jc w:val="left"/>
              <w:rPr>
                <w:szCs w:val="21"/>
                <w:highlight w:val="none"/>
              </w:rPr>
            </w:pPr>
            <w:r>
              <w:rPr>
                <w:szCs w:val="21"/>
                <w:highlight w:val="none"/>
              </w:rPr>
              <w:t>采 购 人：</w:t>
            </w:r>
            <w:r>
              <w:rPr>
                <w:rFonts w:hint="eastAsia"/>
                <w:szCs w:val="21"/>
                <w:highlight w:val="none"/>
                <w:lang w:eastAsia="zh-CN"/>
              </w:rPr>
              <w:t xml:space="preserve">连云港徐圩冷链保税服务有限公司 </w:t>
            </w:r>
            <w:r>
              <w:rPr>
                <w:rFonts w:hint="eastAsia"/>
                <w:szCs w:val="21"/>
                <w:highlight w:val="none"/>
              </w:rPr>
              <w:t xml:space="preserve"> </w:t>
            </w:r>
            <w:r>
              <w:rPr>
                <w:szCs w:val="21"/>
                <w:highlight w:val="none"/>
              </w:rPr>
              <w:t xml:space="preserve">   </w:t>
            </w:r>
          </w:p>
        </w:tc>
        <w:tc>
          <w:tcPr>
            <w:tcW w:w="4503" w:type="dxa"/>
          </w:tcPr>
          <w:p w14:paraId="3D21A7F9">
            <w:pPr>
              <w:adjustRightInd w:val="0"/>
              <w:snapToGrid w:val="0"/>
              <w:spacing w:line="420" w:lineRule="exact"/>
              <w:ind w:firstLine="0" w:firstLineChars="0"/>
              <w:rPr>
                <w:szCs w:val="21"/>
                <w:highlight w:val="none"/>
              </w:rPr>
            </w:pPr>
            <w:r>
              <w:rPr>
                <w:szCs w:val="21"/>
                <w:highlight w:val="none"/>
              </w:rPr>
              <w:t>代理机构：</w:t>
            </w:r>
            <w:r>
              <w:rPr>
                <w:rFonts w:hint="eastAsia"/>
                <w:szCs w:val="21"/>
                <w:highlight w:val="none"/>
              </w:rPr>
              <w:t>连云港徐圩港口安全环保科技有限公司</w:t>
            </w:r>
          </w:p>
        </w:tc>
      </w:tr>
      <w:tr w14:paraId="1283699C">
        <w:tblPrEx>
          <w:tblCellMar>
            <w:top w:w="0" w:type="dxa"/>
            <w:left w:w="108" w:type="dxa"/>
            <w:bottom w:w="0" w:type="dxa"/>
            <w:right w:w="108" w:type="dxa"/>
          </w:tblCellMar>
        </w:tblPrEx>
        <w:tc>
          <w:tcPr>
            <w:tcW w:w="4501" w:type="dxa"/>
            <w:vAlign w:val="center"/>
          </w:tcPr>
          <w:p w14:paraId="618B1A50">
            <w:pPr>
              <w:spacing w:line="420" w:lineRule="exact"/>
              <w:ind w:firstLine="0" w:firstLineChars="0"/>
              <w:rPr>
                <w:rFonts w:hint="default"/>
                <w:color w:val="000000"/>
                <w:szCs w:val="21"/>
                <w:highlight w:val="none"/>
                <w:lang w:val="en-US" w:eastAsia="zh-CN"/>
              </w:rPr>
            </w:pPr>
            <w:r>
              <w:rPr>
                <w:color w:val="000000"/>
                <w:szCs w:val="21"/>
                <w:highlight w:val="none"/>
              </w:rPr>
              <w:t>地    址：</w:t>
            </w:r>
            <w:r>
              <w:rPr>
                <w:rFonts w:hint="eastAsia"/>
                <w:color w:val="000000"/>
                <w:szCs w:val="21"/>
                <w:highlight w:val="none"/>
              </w:rPr>
              <w:t>徐圩新区</w:t>
            </w:r>
            <w:r>
              <w:rPr>
                <w:rFonts w:hint="eastAsia"/>
                <w:color w:val="000000"/>
                <w:szCs w:val="21"/>
                <w:highlight w:val="none"/>
                <w:lang w:val="en-US" w:eastAsia="zh-CN"/>
              </w:rPr>
              <w:t>港前大道60号连云港综合保税区（徐圩片区）区内2号仓库101室</w:t>
            </w:r>
          </w:p>
          <w:p w14:paraId="5EBA4F91">
            <w:pPr>
              <w:spacing w:line="420" w:lineRule="exact"/>
              <w:ind w:firstLine="0" w:firstLineChars="0"/>
              <w:rPr>
                <w:szCs w:val="21"/>
                <w:highlight w:val="none"/>
              </w:rPr>
            </w:pPr>
          </w:p>
        </w:tc>
        <w:tc>
          <w:tcPr>
            <w:tcW w:w="4503" w:type="dxa"/>
          </w:tcPr>
          <w:p w14:paraId="4C2187C5">
            <w:pPr>
              <w:spacing w:line="420" w:lineRule="exact"/>
              <w:ind w:firstLine="0" w:firstLineChars="0"/>
              <w:jc w:val="left"/>
              <w:rPr>
                <w:szCs w:val="21"/>
                <w:highlight w:val="none"/>
              </w:rPr>
            </w:pPr>
            <w:r>
              <w:rPr>
                <w:szCs w:val="21"/>
                <w:highlight w:val="none"/>
              </w:rPr>
              <w:t>地    址：</w:t>
            </w:r>
            <w:r>
              <w:rPr>
                <w:rFonts w:hint="eastAsia"/>
                <w:szCs w:val="21"/>
                <w:highlight w:val="none"/>
              </w:rPr>
              <w:t>连云港市徐圩新区徐圩港区二港池应急救援指挥中心</w:t>
            </w:r>
          </w:p>
        </w:tc>
      </w:tr>
      <w:tr w14:paraId="76E0ACFC">
        <w:tblPrEx>
          <w:tblCellMar>
            <w:top w:w="0" w:type="dxa"/>
            <w:left w:w="108" w:type="dxa"/>
            <w:bottom w:w="0" w:type="dxa"/>
            <w:right w:w="108" w:type="dxa"/>
          </w:tblCellMar>
        </w:tblPrEx>
        <w:trPr>
          <w:trHeight w:val="461" w:hRule="atLeast"/>
        </w:trPr>
        <w:tc>
          <w:tcPr>
            <w:tcW w:w="4501" w:type="dxa"/>
            <w:vAlign w:val="center"/>
          </w:tcPr>
          <w:p w14:paraId="327E77C6">
            <w:pPr>
              <w:spacing w:line="420" w:lineRule="exact"/>
              <w:ind w:firstLine="0" w:firstLineChars="0"/>
              <w:rPr>
                <w:szCs w:val="21"/>
                <w:highlight w:val="none"/>
              </w:rPr>
            </w:pPr>
            <w:r>
              <w:rPr>
                <w:color w:val="000000"/>
                <w:szCs w:val="21"/>
                <w:highlight w:val="none"/>
              </w:rPr>
              <w:t>联 系 人：</w:t>
            </w:r>
            <w:r>
              <w:rPr>
                <w:rFonts w:hint="eastAsia"/>
                <w:color w:val="000000"/>
                <w:szCs w:val="21"/>
                <w:highlight w:val="none"/>
                <w:lang w:val="en-US" w:eastAsia="zh-CN"/>
              </w:rPr>
              <w:t>夏鑫</w:t>
            </w:r>
          </w:p>
        </w:tc>
        <w:tc>
          <w:tcPr>
            <w:tcW w:w="4503" w:type="dxa"/>
          </w:tcPr>
          <w:p w14:paraId="4B4B32A0">
            <w:pPr>
              <w:spacing w:line="420" w:lineRule="exact"/>
              <w:ind w:firstLine="0" w:firstLineChars="0"/>
              <w:jc w:val="left"/>
              <w:rPr>
                <w:szCs w:val="21"/>
                <w:highlight w:val="none"/>
              </w:rPr>
            </w:pPr>
            <w:r>
              <w:rPr>
                <w:szCs w:val="21"/>
                <w:highlight w:val="none"/>
              </w:rPr>
              <w:t>联 系 人：</w:t>
            </w:r>
            <w:r>
              <w:rPr>
                <w:rFonts w:hint="eastAsia"/>
                <w:szCs w:val="21"/>
                <w:highlight w:val="none"/>
                <w:lang w:val="en-US" w:eastAsia="zh-CN"/>
              </w:rPr>
              <w:t>王慧芝</w:t>
            </w:r>
            <w:r>
              <w:rPr>
                <w:szCs w:val="21"/>
                <w:highlight w:val="none"/>
              </w:rPr>
              <w:t xml:space="preserve"> </w:t>
            </w:r>
          </w:p>
        </w:tc>
      </w:tr>
      <w:tr w14:paraId="0AABF0BB">
        <w:tblPrEx>
          <w:tblCellMar>
            <w:top w:w="0" w:type="dxa"/>
            <w:left w:w="108" w:type="dxa"/>
            <w:bottom w:w="0" w:type="dxa"/>
            <w:right w:w="108" w:type="dxa"/>
          </w:tblCellMar>
        </w:tblPrEx>
        <w:trPr>
          <w:trHeight w:val="496" w:hRule="atLeast"/>
        </w:trPr>
        <w:tc>
          <w:tcPr>
            <w:tcW w:w="4501" w:type="dxa"/>
            <w:vAlign w:val="center"/>
          </w:tcPr>
          <w:p w14:paraId="69D17984">
            <w:pPr>
              <w:spacing w:line="420" w:lineRule="exact"/>
              <w:ind w:firstLine="0" w:firstLineChars="0"/>
              <w:rPr>
                <w:rFonts w:hint="default" w:eastAsia="宋体"/>
                <w:szCs w:val="21"/>
                <w:highlight w:val="none"/>
                <w:lang w:val="en-US" w:eastAsia="zh-CN"/>
              </w:rPr>
            </w:pPr>
            <w:r>
              <w:rPr>
                <w:color w:val="000000"/>
                <w:szCs w:val="21"/>
                <w:highlight w:val="none"/>
              </w:rPr>
              <w:t>电    话：</w:t>
            </w:r>
            <w:r>
              <w:rPr>
                <w:rFonts w:hint="eastAsia"/>
                <w:color w:val="000000"/>
                <w:szCs w:val="21"/>
                <w:highlight w:val="none"/>
                <w:lang w:val="en-US" w:eastAsia="zh-CN"/>
              </w:rPr>
              <w:t>18936608339</w:t>
            </w:r>
          </w:p>
        </w:tc>
        <w:tc>
          <w:tcPr>
            <w:tcW w:w="4503" w:type="dxa"/>
          </w:tcPr>
          <w:p w14:paraId="278317FD">
            <w:pPr>
              <w:spacing w:line="420" w:lineRule="exact"/>
              <w:ind w:firstLine="0" w:firstLineChars="0"/>
              <w:jc w:val="left"/>
              <w:rPr>
                <w:rFonts w:hint="default" w:eastAsia="宋体"/>
                <w:szCs w:val="21"/>
                <w:highlight w:val="none"/>
                <w:lang w:val="en-US" w:eastAsia="zh-CN"/>
              </w:rPr>
            </w:pPr>
            <w:r>
              <w:rPr>
                <w:szCs w:val="21"/>
                <w:highlight w:val="none"/>
              </w:rPr>
              <w:t>电    话：</w:t>
            </w:r>
            <w:r>
              <w:rPr>
                <w:rFonts w:hint="eastAsia"/>
                <w:szCs w:val="21"/>
                <w:highlight w:val="none"/>
                <w:lang w:val="en-US" w:eastAsia="zh-CN"/>
              </w:rPr>
              <w:t>18036653560</w:t>
            </w:r>
          </w:p>
        </w:tc>
      </w:tr>
      <w:tr w14:paraId="23AB6180">
        <w:tblPrEx>
          <w:tblCellMar>
            <w:top w:w="0" w:type="dxa"/>
            <w:left w:w="108" w:type="dxa"/>
            <w:bottom w:w="0" w:type="dxa"/>
            <w:right w:w="108" w:type="dxa"/>
          </w:tblCellMar>
        </w:tblPrEx>
        <w:trPr>
          <w:trHeight w:val="484" w:hRule="atLeast"/>
        </w:trPr>
        <w:tc>
          <w:tcPr>
            <w:tcW w:w="4501" w:type="dxa"/>
            <w:vAlign w:val="center"/>
          </w:tcPr>
          <w:p w14:paraId="11C056D1">
            <w:pPr>
              <w:spacing w:line="420" w:lineRule="exact"/>
              <w:ind w:firstLine="0" w:firstLineChars="0"/>
              <w:rPr>
                <w:szCs w:val="21"/>
                <w:highlight w:val="none"/>
              </w:rPr>
            </w:pPr>
            <w:r>
              <w:rPr>
                <w:color w:val="000000"/>
                <w:szCs w:val="21"/>
                <w:highlight w:val="none"/>
              </w:rPr>
              <w:t>电子邮箱：/</w:t>
            </w:r>
          </w:p>
        </w:tc>
        <w:tc>
          <w:tcPr>
            <w:tcW w:w="4503" w:type="dxa"/>
          </w:tcPr>
          <w:p w14:paraId="6F4FEACF">
            <w:pPr>
              <w:spacing w:line="420" w:lineRule="exact"/>
              <w:ind w:firstLine="0" w:firstLineChars="0"/>
              <w:jc w:val="left"/>
              <w:rPr>
                <w:szCs w:val="21"/>
                <w:highlight w:val="none"/>
              </w:rPr>
            </w:pPr>
            <w:r>
              <w:rPr>
                <w:szCs w:val="21"/>
                <w:highlight w:val="none"/>
              </w:rPr>
              <w:t>电子邮箱：</w:t>
            </w:r>
            <w:r>
              <w:rPr>
                <w:rFonts w:hint="eastAsia"/>
                <w:szCs w:val="21"/>
                <w:highlight w:val="none"/>
              </w:rPr>
              <w:t>/</w:t>
            </w:r>
          </w:p>
        </w:tc>
      </w:tr>
    </w:tbl>
    <w:p w14:paraId="78C9113F">
      <w:pPr>
        <w:adjustRightInd w:val="0"/>
        <w:snapToGrid w:val="0"/>
        <w:spacing w:line="420" w:lineRule="exact"/>
        <w:ind w:firstLine="0" w:firstLineChars="0"/>
        <w:jc w:val="left"/>
        <w:rPr>
          <w:b/>
          <w:bCs/>
          <w:szCs w:val="21"/>
          <w:highlight w:val="none"/>
        </w:rPr>
      </w:pPr>
      <w:r>
        <w:rPr>
          <w:b/>
          <w:bCs/>
          <w:szCs w:val="21"/>
          <w:highlight w:val="none"/>
        </w:rPr>
        <w:t>特别提醒：</w:t>
      </w:r>
    </w:p>
    <w:p w14:paraId="54A7A8F4">
      <w:pPr>
        <w:adjustRightInd w:val="0"/>
        <w:snapToGrid w:val="0"/>
        <w:spacing w:line="420" w:lineRule="exact"/>
        <w:ind w:firstLine="420"/>
        <w:rPr>
          <w:szCs w:val="21"/>
          <w:highlight w:val="none"/>
        </w:rPr>
      </w:pPr>
      <w:r>
        <w:rPr>
          <w:szCs w:val="21"/>
          <w:highlight w:val="none"/>
        </w:rPr>
        <w:t>1</w:t>
      </w:r>
      <w:r>
        <w:rPr>
          <w:rFonts w:hint="eastAsia"/>
          <w:szCs w:val="21"/>
          <w:highlight w:val="none"/>
        </w:rPr>
        <w:t>.</w:t>
      </w:r>
      <w:r>
        <w:rPr>
          <w:szCs w:val="21"/>
          <w:highlight w:val="none"/>
        </w:rPr>
        <w:t>本次采购要求网络上传电子响应文件，并在</w:t>
      </w:r>
      <w:r>
        <w:rPr>
          <w:b/>
          <w:bCs/>
          <w:szCs w:val="21"/>
          <w:highlight w:val="none"/>
        </w:rPr>
        <w:t>响应文件递交截止</w:t>
      </w:r>
      <w:r>
        <w:rPr>
          <w:szCs w:val="21"/>
          <w:highlight w:val="none"/>
        </w:rPr>
        <w:t>时间前完成网上电子响应文件上传。</w:t>
      </w:r>
    </w:p>
    <w:p w14:paraId="3F097747">
      <w:pPr>
        <w:adjustRightInd w:val="0"/>
        <w:snapToGrid w:val="0"/>
        <w:spacing w:line="420" w:lineRule="exact"/>
        <w:ind w:firstLine="420"/>
        <w:rPr>
          <w:szCs w:val="21"/>
          <w:highlight w:val="none"/>
        </w:rPr>
      </w:pPr>
      <w:r>
        <w:rPr>
          <w:szCs w:val="21"/>
          <w:highlight w:val="none"/>
        </w:rPr>
        <w:t>2.供应商在网上下载采购文件</w:t>
      </w:r>
      <w:r>
        <w:rPr>
          <w:rFonts w:hint="eastAsia"/>
          <w:szCs w:val="21"/>
          <w:highlight w:val="none"/>
        </w:rPr>
        <w:t>，</w:t>
      </w:r>
      <w:r>
        <w:rPr>
          <w:szCs w:val="21"/>
          <w:highlight w:val="none"/>
        </w:rPr>
        <w:t>根据采购文件要求及时制作电子响应文件。本次采购供应商务必登陆“徐圩新区公共资源交易服务平台”并在服务指南的平台工具及操作手册模块中下载“不见面开标系统用户手册”（网址链接：</w:t>
      </w:r>
      <w:r>
        <w:rPr>
          <w:highlight w:val="none"/>
        </w:rPr>
        <w:fldChar w:fldCharType="begin"/>
      </w:r>
      <w:r>
        <w:rPr>
          <w:highlight w:val="none"/>
        </w:rPr>
        <w:instrText xml:space="preserve"> HYPERLINK "http://ggzy.xwxq.gov.cn/home/downloadCenter），供应商制作电子响应文件时请依据用户手册要求制作，如因供应商未按用户手册要求执行造成的一切后果（包括作无效响应文件处理）均由供应商自行承担。" </w:instrText>
      </w:r>
      <w:r>
        <w:rPr>
          <w:highlight w:val="none"/>
        </w:rPr>
        <w:fldChar w:fldCharType="separate"/>
      </w:r>
      <w:r>
        <w:rPr>
          <w:rStyle w:val="57"/>
          <w:szCs w:val="21"/>
          <w:highlight w:val="none"/>
        </w:rPr>
        <w:t>http://ggzy.xwxq.gov.cn/home/downloadCenter），供应商制作电子响应文件时请依据用户手册要求制作，如因供应商未按用户手册要求执行造成的一切后果（包括作无效响应文件处理）均由供应商自行承担。</w:t>
      </w:r>
      <w:r>
        <w:rPr>
          <w:rStyle w:val="57"/>
          <w:szCs w:val="21"/>
          <w:highlight w:val="none"/>
        </w:rPr>
        <w:fldChar w:fldCharType="end"/>
      </w:r>
    </w:p>
    <w:p w14:paraId="6931A214">
      <w:pPr>
        <w:adjustRightInd w:val="0"/>
        <w:snapToGrid w:val="0"/>
        <w:spacing w:line="420" w:lineRule="exact"/>
        <w:ind w:firstLine="420"/>
        <w:rPr>
          <w:szCs w:val="21"/>
          <w:highlight w:val="none"/>
        </w:rPr>
      </w:pPr>
      <w:r>
        <w:rPr>
          <w:szCs w:val="21"/>
          <w:highlight w:val="none"/>
        </w:rPr>
        <w:t>3.</w:t>
      </w:r>
      <w:r>
        <w:rPr>
          <w:rFonts w:hint="eastAsia"/>
          <w:szCs w:val="21"/>
          <w:highlight w:val="none"/>
        </w:rPr>
        <w:t>谈判</w:t>
      </w:r>
      <w:r>
        <w:rPr>
          <w:szCs w:val="21"/>
          <w:highlight w:val="none"/>
        </w:rPr>
        <w:t>时各供应商在徐圩新区不见面开标大厅登陆、签到并对各自电子响应文件进行解密，请各供应商自行考虑登陆、签到所需时间，如不能在</w:t>
      </w:r>
      <w:r>
        <w:rPr>
          <w:b/>
          <w:bCs/>
          <w:szCs w:val="21"/>
          <w:highlight w:val="none"/>
        </w:rPr>
        <w:t>响应文件递交截止</w:t>
      </w:r>
      <w:r>
        <w:rPr>
          <w:szCs w:val="21"/>
          <w:highlight w:val="none"/>
        </w:rPr>
        <w:t>时间前签到，造成的一切后果（包括作无效响应</w:t>
      </w:r>
      <w:r>
        <w:rPr>
          <w:rFonts w:hint="eastAsia"/>
          <w:szCs w:val="21"/>
          <w:highlight w:val="none"/>
        </w:rPr>
        <w:t>文件</w:t>
      </w:r>
      <w:r>
        <w:rPr>
          <w:szCs w:val="21"/>
          <w:highlight w:val="none"/>
        </w:rPr>
        <w:t>处理）均由供应商自行承担。</w:t>
      </w:r>
    </w:p>
    <w:p w14:paraId="3023B774">
      <w:pPr>
        <w:adjustRightInd w:val="0"/>
        <w:snapToGrid w:val="0"/>
        <w:spacing w:line="420" w:lineRule="exact"/>
        <w:ind w:firstLine="420"/>
        <w:rPr>
          <w:szCs w:val="21"/>
          <w:highlight w:val="none"/>
        </w:rPr>
      </w:pPr>
      <w:r>
        <w:rPr>
          <w:szCs w:val="21"/>
          <w:highlight w:val="none"/>
        </w:rPr>
        <w:t>4.在</w:t>
      </w:r>
      <w:r>
        <w:rPr>
          <w:b/>
          <w:bCs/>
          <w:szCs w:val="21"/>
          <w:highlight w:val="none"/>
        </w:rPr>
        <w:t>响应文件递交截止</w:t>
      </w:r>
      <w:r>
        <w:rPr>
          <w:szCs w:val="21"/>
          <w:highlight w:val="none"/>
        </w:rPr>
        <w:t>时间前，因交易服务平台故障导致供应商无法提交电子响应文件；或者在</w:t>
      </w:r>
      <w:r>
        <w:rPr>
          <w:b/>
          <w:bCs/>
          <w:szCs w:val="21"/>
          <w:highlight w:val="none"/>
        </w:rPr>
        <w:t>响应文件递交截止</w:t>
      </w:r>
      <w:r>
        <w:rPr>
          <w:szCs w:val="21"/>
          <w:highlight w:val="none"/>
        </w:rPr>
        <w:t>时间后，因交易服务平台导致线上采购活动无法进行；或者</w:t>
      </w:r>
      <w:r>
        <w:rPr>
          <w:rFonts w:hint="eastAsia"/>
          <w:szCs w:val="21"/>
          <w:highlight w:val="none"/>
        </w:rPr>
        <w:t>开标</w:t>
      </w:r>
      <w:r>
        <w:rPr>
          <w:szCs w:val="21"/>
          <w:highlight w:val="none"/>
        </w:rPr>
        <w:t>结束后，因交易服务平台故障导致无法评审时，采购人可以选择暂停采购活动。</w:t>
      </w:r>
    </w:p>
    <w:p w14:paraId="65419CFA">
      <w:pPr>
        <w:adjustRightInd w:val="0"/>
        <w:snapToGrid w:val="0"/>
        <w:spacing w:line="420" w:lineRule="exact"/>
        <w:ind w:firstLine="420"/>
        <w:rPr>
          <w:szCs w:val="21"/>
          <w:highlight w:val="none"/>
        </w:rPr>
      </w:pPr>
      <w:r>
        <w:rPr>
          <w:szCs w:val="21"/>
          <w:highlight w:val="none"/>
        </w:rPr>
        <w:t>5.准备及参与采购活动过程中遇到平台技术问题可联系技术服务单位寻求技术支持。联系方式如下：</w:t>
      </w:r>
    </w:p>
    <w:tbl>
      <w:tblPr>
        <w:tblStyle w:val="49"/>
        <w:tblW w:w="486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13"/>
        <w:gridCol w:w="2450"/>
        <w:gridCol w:w="3124"/>
      </w:tblGrid>
      <w:tr w14:paraId="2475C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1899" w:type="pct"/>
            <w:vAlign w:val="center"/>
          </w:tcPr>
          <w:p w14:paraId="213019BC">
            <w:pPr>
              <w:adjustRightInd w:val="0"/>
              <w:snapToGrid w:val="0"/>
              <w:spacing w:line="420" w:lineRule="exact"/>
              <w:ind w:firstLine="0" w:firstLineChars="0"/>
              <w:jc w:val="center"/>
              <w:rPr>
                <w:b/>
                <w:szCs w:val="21"/>
                <w:highlight w:val="none"/>
              </w:rPr>
            </w:pPr>
            <w:r>
              <w:rPr>
                <w:b/>
                <w:szCs w:val="21"/>
                <w:highlight w:val="none"/>
              </w:rPr>
              <w:t>技术服务单位名称</w:t>
            </w:r>
          </w:p>
        </w:tc>
        <w:tc>
          <w:tcPr>
            <w:tcW w:w="1363" w:type="pct"/>
            <w:vAlign w:val="center"/>
          </w:tcPr>
          <w:p w14:paraId="4D57FEE3">
            <w:pPr>
              <w:adjustRightInd w:val="0"/>
              <w:snapToGrid w:val="0"/>
              <w:spacing w:line="420" w:lineRule="exact"/>
              <w:ind w:firstLine="0" w:firstLineChars="0"/>
              <w:jc w:val="center"/>
              <w:rPr>
                <w:b/>
                <w:szCs w:val="21"/>
                <w:highlight w:val="none"/>
              </w:rPr>
            </w:pPr>
            <w:r>
              <w:rPr>
                <w:b/>
                <w:szCs w:val="21"/>
                <w:highlight w:val="none"/>
              </w:rPr>
              <w:t>联系人</w:t>
            </w:r>
          </w:p>
        </w:tc>
        <w:tc>
          <w:tcPr>
            <w:tcW w:w="1738" w:type="pct"/>
            <w:vAlign w:val="center"/>
          </w:tcPr>
          <w:p w14:paraId="43DA3025">
            <w:pPr>
              <w:adjustRightInd w:val="0"/>
              <w:snapToGrid w:val="0"/>
              <w:spacing w:line="420" w:lineRule="exact"/>
              <w:ind w:firstLine="0" w:firstLineChars="0"/>
              <w:jc w:val="center"/>
              <w:rPr>
                <w:b/>
                <w:szCs w:val="21"/>
                <w:highlight w:val="none"/>
              </w:rPr>
            </w:pPr>
            <w:r>
              <w:rPr>
                <w:b/>
                <w:szCs w:val="21"/>
                <w:highlight w:val="none"/>
              </w:rPr>
              <w:t>联系电话</w:t>
            </w:r>
          </w:p>
        </w:tc>
      </w:tr>
      <w:tr w14:paraId="0B1A2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899" w:type="pct"/>
            <w:vAlign w:val="center"/>
          </w:tcPr>
          <w:p w14:paraId="548FFED7">
            <w:pPr>
              <w:adjustRightInd w:val="0"/>
              <w:snapToGrid w:val="0"/>
              <w:spacing w:line="420" w:lineRule="exact"/>
              <w:ind w:firstLine="0" w:firstLineChars="0"/>
              <w:jc w:val="center"/>
              <w:rPr>
                <w:bCs/>
                <w:szCs w:val="21"/>
                <w:highlight w:val="none"/>
              </w:rPr>
            </w:pPr>
            <w:r>
              <w:rPr>
                <w:bCs/>
                <w:szCs w:val="21"/>
                <w:highlight w:val="none"/>
              </w:rPr>
              <w:t>江苏方洋智能科技有限公司</w:t>
            </w:r>
          </w:p>
        </w:tc>
        <w:tc>
          <w:tcPr>
            <w:tcW w:w="1363" w:type="pct"/>
            <w:vAlign w:val="center"/>
          </w:tcPr>
          <w:p w14:paraId="33306129">
            <w:pPr>
              <w:adjustRightInd w:val="0"/>
              <w:snapToGrid w:val="0"/>
              <w:spacing w:line="420" w:lineRule="exact"/>
              <w:ind w:firstLine="0" w:firstLineChars="0"/>
              <w:jc w:val="center"/>
              <w:rPr>
                <w:bCs/>
                <w:szCs w:val="21"/>
                <w:highlight w:val="none"/>
              </w:rPr>
            </w:pPr>
            <w:r>
              <w:rPr>
                <w:bCs/>
                <w:szCs w:val="21"/>
                <w:highlight w:val="none"/>
              </w:rPr>
              <w:t>冯晨</w:t>
            </w:r>
          </w:p>
        </w:tc>
        <w:tc>
          <w:tcPr>
            <w:tcW w:w="1738" w:type="pct"/>
            <w:vAlign w:val="center"/>
          </w:tcPr>
          <w:p w14:paraId="620C40AD">
            <w:pPr>
              <w:adjustRightInd w:val="0"/>
              <w:snapToGrid w:val="0"/>
              <w:spacing w:line="420" w:lineRule="exact"/>
              <w:ind w:firstLine="0" w:firstLineChars="0"/>
              <w:jc w:val="center"/>
              <w:rPr>
                <w:bCs/>
                <w:szCs w:val="21"/>
                <w:highlight w:val="none"/>
              </w:rPr>
            </w:pPr>
            <w:r>
              <w:rPr>
                <w:bCs/>
                <w:szCs w:val="21"/>
                <w:highlight w:val="none"/>
              </w:rPr>
              <w:t>15380270066</w:t>
            </w:r>
          </w:p>
        </w:tc>
      </w:tr>
    </w:tbl>
    <w:p w14:paraId="04F48C45">
      <w:pPr>
        <w:pStyle w:val="2"/>
        <w:spacing w:after="0" w:line="420" w:lineRule="exact"/>
        <w:ind w:firstLine="420"/>
        <w:jc w:val="left"/>
        <w:rPr>
          <w:rFonts w:eastAsiaTheme="minorEastAsia"/>
          <w:bCs/>
          <w:color w:val="000000" w:themeColor="text1"/>
          <w:szCs w:val="21"/>
          <w:highlight w:val="none"/>
          <w14:textFill>
            <w14:solidFill>
              <w14:schemeClr w14:val="tx1"/>
            </w14:solidFill>
          </w14:textFill>
        </w:rPr>
      </w:pPr>
      <w:r>
        <w:rPr>
          <w:szCs w:val="21"/>
          <w:highlight w:val="none"/>
        </w:rPr>
        <w:t>6.供应商</w:t>
      </w:r>
      <w:r>
        <w:rPr>
          <w:highlight w:val="none"/>
        </w:rPr>
        <w:t>响应文件必须进行加密处理，并在规定的时间内解密，因</w:t>
      </w:r>
      <w:r>
        <w:rPr>
          <w:szCs w:val="21"/>
          <w:highlight w:val="none"/>
        </w:rPr>
        <w:t>供应商</w:t>
      </w:r>
      <w:r>
        <w:rPr>
          <w:highlight w:val="none"/>
        </w:rPr>
        <w:t>原因造成未在规定的时间内完成解密的，</w:t>
      </w:r>
      <w:r>
        <w:rPr>
          <w:szCs w:val="21"/>
          <w:highlight w:val="none"/>
        </w:rPr>
        <w:t>该供应商响应文件将被拒绝，</w:t>
      </w:r>
      <w:r>
        <w:rPr>
          <w:rFonts w:hint="eastAsia"/>
          <w:szCs w:val="21"/>
          <w:highlight w:val="none"/>
        </w:rPr>
        <w:t>谈判</w:t>
      </w:r>
      <w:r>
        <w:rPr>
          <w:szCs w:val="21"/>
          <w:highlight w:val="none"/>
        </w:rPr>
        <w:t>将按正常程序</w:t>
      </w:r>
      <w:r>
        <w:rPr>
          <w:highlight w:val="none"/>
        </w:rPr>
        <w:t>进行下一步，由此产生的后果由供应商自行承担。标书加密处理方法可参考</w:t>
      </w:r>
      <w:r>
        <w:rPr>
          <w:szCs w:val="21"/>
          <w:highlight w:val="none"/>
        </w:rPr>
        <w:t>“徐圩新区公共资源交易服务平台”</w:t>
      </w:r>
      <w:r>
        <w:rPr>
          <w:rFonts w:eastAsiaTheme="minorEastAsia"/>
          <w:bCs/>
          <w:color w:val="000000" w:themeColor="text1"/>
          <w:szCs w:val="21"/>
          <w:highlight w:val="none"/>
          <w14:textFill>
            <w14:solidFill>
              <w14:schemeClr w14:val="tx1"/>
            </w14:solidFill>
          </w14:textFill>
        </w:rPr>
        <w:t>服务指南的平台工具及操作手册中的“</w:t>
      </w:r>
      <w:r>
        <w:rPr>
          <w:rFonts w:eastAsiaTheme="minorEastAsia"/>
          <w:b/>
          <w:bCs/>
          <w:color w:val="000000" w:themeColor="text1"/>
          <w:szCs w:val="21"/>
          <w:highlight w:val="none"/>
          <w14:textFill>
            <w14:solidFill>
              <w14:schemeClr w14:val="tx1"/>
            </w14:solidFill>
          </w14:textFill>
        </w:rPr>
        <w:t>标书加密操作说明”（网址链接：http://ggzy.xwxq.gov.cn/home/downloadCenter）</w:t>
      </w:r>
      <w:r>
        <w:rPr>
          <w:rFonts w:eastAsiaTheme="minorEastAsia"/>
          <w:bCs/>
          <w:color w:val="000000" w:themeColor="text1"/>
          <w:szCs w:val="21"/>
          <w:highlight w:val="none"/>
          <w14:textFill>
            <w14:solidFill>
              <w14:schemeClr w14:val="tx1"/>
            </w14:solidFill>
          </w14:textFill>
        </w:rPr>
        <w:t>。</w:t>
      </w:r>
    </w:p>
    <w:p w14:paraId="34B5F3A8">
      <w:pPr>
        <w:pStyle w:val="47"/>
        <w:spacing w:after="0" w:line="420" w:lineRule="exact"/>
        <w:ind w:left="0" w:leftChars="0" w:right="0" w:rightChars="0" w:firstLineChars="200"/>
        <w:jc w:val="both"/>
        <w:rPr>
          <w:b/>
          <w:bCs/>
          <w:sz w:val="21"/>
          <w:szCs w:val="21"/>
          <w:highlight w:val="none"/>
        </w:rPr>
      </w:pPr>
      <w:r>
        <w:rPr>
          <w:sz w:val="21"/>
          <w:szCs w:val="21"/>
          <w:highlight w:val="none"/>
        </w:rPr>
        <w:t>7.</w:t>
      </w:r>
      <w:r>
        <w:rPr>
          <w:b/>
          <w:bCs/>
          <w:sz w:val="21"/>
          <w:szCs w:val="21"/>
          <w:highlight w:val="none"/>
        </w:rPr>
        <w:t>本项目采用2轮报价。</w:t>
      </w:r>
      <w:r>
        <w:rPr>
          <w:sz w:val="21"/>
          <w:szCs w:val="21"/>
          <w:highlight w:val="none"/>
        </w:rPr>
        <w:t>供应商应依据采购人要求在不见面开标大厅填报报价，如响应文件公布现场因供应商原因导致无法联系等情况，供应商未依据采购人要求填报报价，视为供应商放弃二次报价，以初次报价为最终报价。</w:t>
      </w:r>
      <w:r>
        <w:rPr>
          <w:b/>
          <w:bCs/>
          <w:color w:val="FF0000"/>
          <w:sz w:val="21"/>
          <w:szCs w:val="21"/>
          <w:highlight w:val="none"/>
        </w:rPr>
        <w:t>报价时各供应商需特别注意网上不见面开标大厅“二次报价”界面等所需填报金额的单位</w:t>
      </w:r>
      <w:r>
        <w:rPr>
          <w:rFonts w:hint="eastAsia"/>
          <w:b/>
          <w:bCs/>
          <w:color w:val="FF0000"/>
          <w:sz w:val="21"/>
          <w:szCs w:val="21"/>
          <w:highlight w:val="none"/>
        </w:rPr>
        <w:t>为“</w:t>
      </w:r>
      <w:r>
        <w:rPr>
          <w:rFonts w:hint="eastAsia"/>
          <w:b/>
          <w:bCs/>
          <w:color w:val="FF0000"/>
          <w:sz w:val="21"/>
          <w:szCs w:val="21"/>
          <w:highlight w:val="none"/>
          <w:lang w:val="en-US" w:eastAsia="zh-CN"/>
        </w:rPr>
        <w:t>元</w:t>
      </w:r>
      <w:r>
        <w:rPr>
          <w:rFonts w:hint="eastAsia"/>
          <w:b/>
          <w:bCs/>
          <w:color w:val="FF0000"/>
          <w:sz w:val="21"/>
          <w:szCs w:val="21"/>
          <w:highlight w:val="none"/>
        </w:rPr>
        <w:t>”</w:t>
      </w:r>
      <w:r>
        <w:rPr>
          <w:b/>
          <w:bCs/>
          <w:sz w:val="21"/>
          <w:szCs w:val="21"/>
          <w:highlight w:val="none"/>
        </w:rPr>
        <w:t>，如供应商报价金额</w:t>
      </w:r>
      <w:r>
        <w:rPr>
          <w:rFonts w:hint="eastAsia"/>
          <w:b/>
          <w:bCs/>
          <w:sz w:val="21"/>
          <w:szCs w:val="21"/>
          <w:highlight w:val="none"/>
        </w:rPr>
        <w:t>/</w:t>
      </w:r>
      <w:r>
        <w:rPr>
          <w:b/>
          <w:bCs/>
          <w:sz w:val="21"/>
          <w:szCs w:val="21"/>
          <w:highlight w:val="none"/>
        </w:rPr>
        <w:t>单位有误，造成的一切后果（包括作无效响应处理）均由供应商自行承担。</w:t>
      </w:r>
    </w:p>
    <w:p w14:paraId="43513D89">
      <w:pPr>
        <w:pStyle w:val="60"/>
        <w:spacing w:line="420" w:lineRule="exact"/>
        <w:ind w:firstLine="422"/>
        <w:rPr>
          <w:b/>
          <w:bCs/>
          <w:szCs w:val="21"/>
          <w:highlight w:val="none"/>
        </w:rPr>
      </w:pPr>
      <w:r>
        <w:rPr>
          <w:rFonts w:hint="eastAsia"/>
          <w:b/>
          <w:bCs/>
          <w:szCs w:val="21"/>
          <w:highlight w:val="none"/>
        </w:rPr>
        <w:t>8.</w:t>
      </w:r>
      <w:r>
        <w:rPr>
          <w:b/>
          <w:bCs/>
          <w:szCs w:val="21"/>
          <w:highlight w:val="none"/>
        </w:rPr>
        <w:t>本项目合同采用电子签章系统。</w:t>
      </w:r>
      <w:r>
        <w:rPr>
          <w:szCs w:val="21"/>
          <w:highlight w:val="none"/>
        </w:rPr>
        <w:t>成交供应商授权委托人负责电子合同签订工作，并在成交结果公示期结束后3日内，按照《企业接收方认证及签署操作手册》（详见港控集团官网，网址为http://www.xwport.com/）完成认证工作；成交供应商应在成交结果公示后30日内完成合同签订工作。</w:t>
      </w:r>
    </w:p>
    <w:p w14:paraId="1EB291E1">
      <w:pPr>
        <w:pStyle w:val="60"/>
        <w:spacing w:line="420" w:lineRule="exact"/>
        <w:ind w:firstLine="422"/>
        <w:rPr>
          <w:b/>
          <w:bCs/>
          <w:szCs w:val="21"/>
          <w:highlight w:val="none"/>
        </w:rPr>
      </w:pPr>
      <w:r>
        <w:rPr>
          <w:rFonts w:hint="eastAsia"/>
          <w:b/>
          <w:bCs/>
          <w:szCs w:val="21"/>
          <w:highlight w:val="none"/>
        </w:rPr>
        <w:t>9.</w:t>
      </w:r>
      <w:r>
        <w:rPr>
          <w:rFonts w:hint="eastAsia"/>
          <w:b/>
          <w:bCs/>
          <w:color w:val="FF0000"/>
          <w:szCs w:val="21"/>
          <w:highlight w:val="none"/>
        </w:rPr>
        <w:t>响应函中增值税按一般纳税人计取，税率为6%且不得更改</w:t>
      </w:r>
      <w:r>
        <w:rPr>
          <w:rFonts w:hint="eastAsia"/>
          <w:b/>
          <w:bCs/>
          <w:szCs w:val="21"/>
          <w:highlight w:val="none"/>
        </w:rPr>
        <w:t>，响应文件中的税率与谈判文件规定的6%税率不一致的，做无效响应处理；因国家税制改革或供应商为小规模纳税人而引发的增值税税率的变化，采购人与成交供应商签订合同后，付款时应适用调整后最新税率，合同原约定的不含税价不因税率变化而改变。</w:t>
      </w:r>
    </w:p>
    <w:p w14:paraId="439327CD">
      <w:pPr>
        <w:pStyle w:val="4"/>
        <w:keepNext w:val="0"/>
        <w:snapToGrid w:val="0"/>
        <w:spacing w:before="300" w:after="200" w:line="400" w:lineRule="atLeast"/>
        <w:ind w:firstLine="0" w:firstLineChars="0"/>
        <w:jc w:val="center"/>
        <w:rPr>
          <w:rFonts w:ascii="Times New Roman" w:hAnsi="Times New Roman" w:eastAsiaTheme="majorEastAsia"/>
          <w:bCs/>
          <w:kern w:val="2"/>
          <w:szCs w:val="36"/>
          <w:highlight w:val="none"/>
        </w:rPr>
      </w:pPr>
      <w:r>
        <w:rPr>
          <w:rFonts w:ascii="Times New Roman" w:hAnsi="Times New Roman"/>
          <w:highlight w:val="none"/>
        </w:rPr>
        <w:br w:type="page"/>
      </w:r>
      <w:bookmarkStart w:id="14" w:name="_Toc27635"/>
      <w:bookmarkStart w:id="15" w:name="_Toc26371"/>
      <w:bookmarkStart w:id="16" w:name="_Toc168"/>
      <w:r>
        <w:rPr>
          <w:rFonts w:ascii="Times New Roman" w:hAnsi="Times New Roman" w:eastAsiaTheme="majorEastAsia"/>
          <w:bCs/>
          <w:kern w:val="2"/>
          <w:szCs w:val="36"/>
          <w:highlight w:val="none"/>
        </w:rPr>
        <w:t>第二章 供应商须知</w:t>
      </w:r>
      <w:bookmarkEnd w:id="14"/>
      <w:bookmarkEnd w:id="15"/>
      <w:bookmarkEnd w:id="16"/>
    </w:p>
    <w:p w14:paraId="7F6AACC0">
      <w:pPr>
        <w:pStyle w:val="2"/>
        <w:ind w:firstLine="0" w:firstLineChars="0"/>
        <w:jc w:val="center"/>
        <w:rPr>
          <w:b/>
          <w:bCs/>
          <w:sz w:val="30"/>
          <w:szCs w:val="30"/>
          <w:highlight w:val="none"/>
        </w:rPr>
      </w:pPr>
      <w:r>
        <w:rPr>
          <w:b/>
          <w:bCs/>
          <w:sz w:val="30"/>
          <w:szCs w:val="30"/>
          <w:highlight w:val="none"/>
        </w:rPr>
        <w:t>供应商须知前附表</w:t>
      </w:r>
    </w:p>
    <w:tbl>
      <w:tblPr>
        <w:tblStyle w:val="4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7"/>
        <w:gridCol w:w="2315"/>
        <w:gridCol w:w="5690"/>
      </w:tblGrid>
      <w:tr w14:paraId="20108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69" w:type="pct"/>
            <w:vAlign w:val="center"/>
          </w:tcPr>
          <w:p w14:paraId="3A723451">
            <w:pPr>
              <w:keepLines/>
              <w:widowControl/>
              <w:spacing w:line="360" w:lineRule="exact"/>
              <w:ind w:firstLine="0" w:firstLineChars="0"/>
              <w:jc w:val="center"/>
              <w:rPr>
                <w:szCs w:val="21"/>
                <w:highlight w:val="none"/>
              </w:rPr>
            </w:pPr>
            <w:r>
              <w:rPr>
                <w:szCs w:val="21"/>
                <w:highlight w:val="none"/>
              </w:rPr>
              <w:t>条款号</w:t>
            </w:r>
          </w:p>
        </w:tc>
        <w:tc>
          <w:tcPr>
            <w:tcW w:w="1252" w:type="pct"/>
            <w:vAlign w:val="center"/>
          </w:tcPr>
          <w:p w14:paraId="4A4DD6ED">
            <w:pPr>
              <w:keepLines/>
              <w:widowControl/>
              <w:spacing w:line="360" w:lineRule="exact"/>
              <w:ind w:firstLine="0" w:firstLineChars="0"/>
              <w:jc w:val="center"/>
              <w:rPr>
                <w:szCs w:val="21"/>
                <w:highlight w:val="none"/>
              </w:rPr>
            </w:pPr>
            <w:r>
              <w:rPr>
                <w:szCs w:val="21"/>
                <w:highlight w:val="none"/>
              </w:rPr>
              <w:t>条款名称</w:t>
            </w:r>
          </w:p>
        </w:tc>
        <w:tc>
          <w:tcPr>
            <w:tcW w:w="3077" w:type="pct"/>
            <w:vAlign w:val="center"/>
          </w:tcPr>
          <w:p w14:paraId="273B1139">
            <w:pPr>
              <w:keepLines/>
              <w:widowControl/>
              <w:spacing w:line="360" w:lineRule="exact"/>
              <w:ind w:firstLine="0" w:firstLineChars="0"/>
              <w:jc w:val="center"/>
              <w:rPr>
                <w:szCs w:val="21"/>
                <w:highlight w:val="none"/>
              </w:rPr>
            </w:pPr>
            <w:r>
              <w:rPr>
                <w:szCs w:val="21"/>
                <w:highlight w:val="none"/>
              </w:rPr>
              <w:t>编列内容</w:t>
            </w:r>
          </w:p>
        </w:tc>
      </w:tr>
      <w:tr w14:paraId="24557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69" w:type="pct"/>
            <w:vAlign w:val="center"/>
          </w:tcPr>
          <w:p w14:paraId="359885F3">
            <w:pPr>
              <w:keepLines/>
              <w:widowControl/>
              <w:spacing w:line="360" w:lineRule="exact"/>
              <w:ind w:firstLine="0" w:firstLineChars="0"/>
              <w:jc w:val="center"/>
              <w:rPr>
                <w:szCs w:val="21"/>
                <w:highlight w:val="none"/>
              </w:rPr>
            </w:pPr>
            <w:r>
              <w:rPr>
                <w:szCs w:val="21"/>
                <w:highlight w:val="none"/>
              </w:rPr>
              <w:t>1.1.1</w:t>
            </w:r>
          </w:p>
        </w:tc>
        <w:tc>
          <w:tcPr>
            <w:tcW w:w="1252" w:type="pct"/>
            <w:vAlign w:val="center"/>
          </w:tcPr>
          <w:p w14:paraId="37577A4B">
            <w:pPr>
              <w:keepLines/>
              <w:widowControl/>
              <w:spacing w:line="360" w:lineRule="exact"/>
              <w:ind w:firstLine="0" w:firstLineChars="0"/>
              <w:rPr>
                <w:szCs w:val="21"/>
                <w:highlight w:val="none"/>
              </w:rPr>
            </w:pPr>
            <w:r>
              <w:rPr>
                <w:szCs w:val="21"/>
                <w:highlight w:val="none"/>
              </w:rPr>
              <w:t>采购人</w:t>
            </w:r>
          </w:p>
        </w:tc>
        <w:tc>
          <w:tcPr>
            <w:tcW w:w="3077" w:type="pct"/>
            <w:vAlign w:val="center"/>
          </w:tcPr>
          <w:p w14:paraId="67F67FFC">
            <w:pPr>
              <w:keepLines/>
              <w:widowControl/>
              <w:spacing w:line="360" w:lineRule="exact"/>
              <w:ind w:firstLine="0" w:firstLineChars="0"/>
              <w:rPr>
                <w:rFonts w:hint="eastAsia" w:eastAsia="宋体"/>
                <w:szCs w:val="21"/>
                <w:highlight w:val="none"/>
                <w:lang w:eastAsia="zh-CN"/>
              </w:rPr>
            </w:pPr>
            <w:r>
              <w:rPr>
                <w:szCs w:val="21"/>
                <w:highlight w:val="none"/>
              </w:rPr>
              <w:t>名  称：</w:t>
            </w:r>
            <w:r>
              <w:rPr>
                <w:rFonts w:hint="eastAsia"/>
                <w:szCs w:val="21"/>
                <w:highlight w:val="none"/>
                <w:lang w:eastAsia="zh-CN"/>
              </w:rPr>
              <w:t xml:space="preserve">连云港徐圩冷链保税服务有限公司 </w:t>
            </w:r>
          </w:p>
          <w:p w14:paraId="6ADB23F7">
            <w:pPr>
              <w:keepLines/>
              <w:widowControl/>
              <w:spacing w:line="360" w:lineRule="exact"/>
              <w:ind w:firstLine="0" w:firstLineChars="0"/>
              <w:rPr>
                <w:szCs w:val="21"/>
                <w:highlight w:val="none"/>
              </w:rPr>
            </w:pPr>
            <w:r>
              <w:rPr>
                <w:szCs w:val="21"/>
                <w:highlight w:val="none"/>
              </w:rPr>
              <w:t>地  址：</w:t>
            </w:r>
            <w:r>
              <w:rPr>
                <w:rFonts w:hint="eastAsia"/>
                <w:color w:val="000000"/>
                <w:szCs w:val="21"/>
                <w:highlight w:val="none"/>
              </w:rPr>
              <w:t>连云港市徐圩新区</w:t>
            </w:r>
            <w:r>
              <w:rPr>
                <w:rFonts w:hint="eastAsia"/>
                <w:color w:val="000000"/>
                <w:szCs w:val="21"/>
                <w:highlight w:val="none"/>
                <w:lang w:val="en-US" w:eastAsia="zh-CN"/>
              </w:rPr>
              <w:t>港前大道60号连云港综合保税区（徐圩片区）区内2号仓库101室</w:t>
            </w:r>
          </w:p>
          <w:p w14:paraId="7264FC19">
            <w:pPr>
              <w:keepLines/>
              <w:widowControl/>
              <w:spacing w:line="360" w:lineRule="exact"/>
              <w:ind w:firstLine="0" w:firstLineChars="0"/>
              <w:rPr>
                <w:rFonts w:hint="eastAsia" w:eastAsia="宋体"/>
                <w:szCs w:val="21"/>
                <w:highlight w:val="none"/>
                <w:lang w:eastAsia="zh-CN"/>
              </w:rPr>
            </w:pPr>
            <w:r>
              <w:rPr>
                <w:szCs w:val="21"/>
                <w:highlight w:val="none"/>
              </w:rPr>
              <w:t>联系人：</w:t>
            </w:r>
            <w:r>
              <w:rPr>
                <w:rFonts w:hint="eastAsia"/>
                <w:szCs w:val="21"/>
                <w:highlight w:val="none"/>
                <w:lang w:val="en-US" w:eastAsia="zh-CN"/>
              </w:rPr>
              <w:t>夏鑫</w:t>
            </w:r>
          </w:p>
          <w:p w14:paraId="29ACBE8D">
            <w:pPr>
              <w:keepLines/>
              <w:widowControl/>
              <w:spacing w:line="360" w:lineRule="exact"/>
              <w:ind w:firstLine="0" w:firstLineChars="0"/>
              <w:rPr>
                <w:highlight w:val="none"/>
              </w:rPr>
            </w:pPr>
            <w:r>
              <w:rPr>
                <w:color w:val="000000"/>
                <w:szCs w:val="21"/>
                <w:highlight w:val="none"/>
              </w:rPr>
              <w:t>电  话：</w:t>
            </w:r>
            <w:r>
              <w:rPr>
                <w:rFonts w:hint="eastAsia"/>
                <w:color w:val="000000"/>
                <w:szCs w:val="21"/>
                <w:highlight w:val="none"/>
                <w:lang w:val="en-US" w:eastAsia="zh-CN"/>
              </w:rPr>
              <w:t>18936608339</w:t>
            </w:r>
          </w:p>
        </w:tc>
      </w:tr>
      <w:tr w14:paraId="6CE5F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69" w:type="pct"/>
            <w:vAlign w:val="center"/>
          </w:tcPr>
          <w:p w14:paraId="7E1A40E0">
            <w:pPr>
              <w:keepLines/>
              <w:widowControl/>
              <w:spacing w:line="360" w:lineRule="exact"/>
              <w:ind w:firstLine="0" w:firstLineChars="0"/>
              <w:jc w:val="center"/>
              <w:rPr>
                <w:szCs w:val="21"/>
                <w:highlight w:val="none"/>
              </w:rPr>
            </w:pPr>
            <w:r>
              <w:rPr>
                <w:szCs w:val="21"/>
                <w:highlight w:val="none"/>
              </w:rPr>
              <w:t>1.1.2</w:t>
            </w:r>
          </w:p>
        </w:tc>
        <w:tc>
          <w:tcPr>
            <w:tcW w:w="1252" w:type="pct"/>
            <w:vAlign w:val="center"/>
          </w:tcPr>
          <w:p w14:paraId="5037D865">
            <w:pPr>
              <w:keepLines/>
              <w:widowControl/>
              <w:spacing w:line="360" w:lineRule="exact"/>
              <w:ind w:firstLine="0" w:firstLineChars="0"/>
              <w:rPr>
                <w:szCs w:val="21"/>
                <w:highlight w:val="none"/>
              </w:rPr>
            </w:pPr>
            <w:r>
              <w:rPr>
                <w:szCs w:val="21"/>
                <w:highlight w:val="none"/>
              </w:rPr>
              <w:t>采购代理机构</w:t>
            </w:r>
          </w:p>
        </w:tc>
        <w:tc>
          <w:tcPr>
            <w:tcW w:w="3077" w:type="pct"/>
            <w:vAlign w:val="center"/>
          </w:tcPr>
          <w:p w14:paraId="4334F06A">
            <w:pPr>
              <w:keepLines/>
              <w:widowControl/>
              <w:spacing w:line="360" w:lineRule="exact"/>
              <w:ind w:firstLine="0" w:firstLineChars="0"/>
              <w:rPr>
                <w:szCs w:val="21"/>
                <w:highlight w:val="none"/>
              </w:rPr>
            </w:pPr>
            <w:r>
              <w:rPr>
                <w:szCs w:val="21"/>
                <w:highlight w:val="none"/>
              </w:rPr>
              <w:t>名  称：</w:t>
            </w:r>
            <w:r>
              <w:rPr>
                <w:rFonts w:hint="eastAsia"/>
                <w:szCs w:val="21"/>
                <w:highlight w:val="none"/>
              </w:rPr>
              <w:t>连云港徐圩港口安全环保科技有限公司</w:t>
            </w:r>
          </w:p>
          <w:p w14:paraId="14E9C21C">
            <w:pPr>
              <w:keepLines/>
              <w:widowControl/>
              <w:spacing w:line="360" w:lineRule="exact"/>
              <w:ind w:firstLine="0" w:firstLineChars="0"/>
              <w:rPr>
                <w:szCs w:val="21"/>
                <w:highlight w:val="none"/>
              </w:rPr>
            </w:pPr>
            <w:r>
              <w:rPr>
                <w:szCs w:val="21"/>
                <w:highlight w:val="none"/>
              </w:rPr>
              <w:t>地  址：</w:t>
            </w:r>
            <w:r>
              <w:rPr>
                <w:rFonts w:hint="eastAsia"/>
                <w:szCs w:val="21"/>
                <w:highlight w:val="none"/>
              </w:rPr>
              <w:t>连云港市徐圩新区徐圩港区二港池应急救援指挥中心</w:t>
            </w:r>
          </w:p>
          <w:p w14:paraId="67ED92F3">
            <w:pPr>
              <w:keepLines/>
              <w:widowControl/>
              <w:spacing w:line="360" w:lineRule="exact"/>
              <w:ind w:firstLine="0" w:firstLineChars="0"/>
              <w:rPr>
                <w:rFonts w:hint="eastAsia" w:eastAsia="宋体"/>
                <w:szCs w:val="21"/>
                <w:highlight w:val="none"/>
                <w:lang w:eastAsia="zh-CN"/>
              </w:rPr>
            </w:pPr>
            <w:r>
              <w:rPr>
                <w:szCs w:val="21"/>
                <w:highlight w:val="none"/>
              </w:rPr>
              <w:t>联系人：</w:t>
            </w:r>
            <w:r>
              <w:rPr>
                <w:rFonts w:hint="eastAsia"/>
                <w:szCs w:val="21"/>
                <w:highlight w:val="none"/>
                <w:lang w:val="en-US" w:eastAsia="zh-CN"/>
              </w:rPr>
              <w:t>王慧芝</w:t>
            </w:r>
          </w:p>
          <w:p w14:paraId="51083372">
            <w:pPr>
              <w:keepLines/>
              <w:widowControl/>
              <w:spacing w:line="360" w:lineRule="exact"/>
              <w:ind w:firstLine="0" w:firstLineChars="0"/>
              <w:rPr>
                <w:rFonts w:hint="default" w:eastAsia="宋体"/>
                <w:szCs w:val="21"/>
                <w:highlight w:val="none"/>
                <w:lang w:val="en-US" w:eastAsia="zh-CN"/>
              </w:rPr>
            </w:pPr>
            <w:r>
              <w:rPr>
                <w:szCs w:val="21"/>
                <w:highlight w:val="none"/>
              </w:rPr>
              <w:t>电  话：</w:t>
            </w:r>
            <w:r>
              <w:rPr>
                <w:rFonts w:hint="eastAsia"/>
                <w:szCs w:val="21"/>
                <w:highlight w:val="none"/>
                <w:lang w:val="en-US" w:eastAsia="zh-CN"/>
              </w:rPr>
              <w:t>18036653560</w:t>
            </w:r>
          </w:p>
        </w:tc>
      </w:tr>
      <w:tr w14:paraId="1EF77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69" w:type="pct"/>
            <w:vAlign w:val="center"/>
          </w:tcPr>
          <w:p w14:paraId="4E395323">
            <w:pPr>
              <w:keepLines/>
              <w:widowControl/>
              <w:spacing w:line="360" w:lineRule="exact"/>
              <w:ind w:firstLine="0" w:firstLineChars="0"/>
              <w:jc w:val="center"/>
              <w:rPr>
                <w:szCs w:val="21"/>
                <w:highlight w:val="none"/>
              </w:rPr>
            </w:pPr>
            <w:r>
              <w:rPr>
                <w:szCs w:val="21"/>
                <w:highlight w:val="none"/>
              </w:rPr>
              <w:t>1.1.3</w:t>
            </w:r>
          </w:p>
        </w:tc>
        <w:tc>
          <w:tcPr>
            <w:tcW w:w="1252" w:type="pct"/>
            <w:vAlign w:val="center"/>
          </w:tcPr>
          <w:p w14:paraId="08373345">
            <w:pPr>
              <w:keepLines/>
              <w:widowControl/>
              <w:spacing w:line="360" w:lineRule="exact"/>
              <w:ind w:firstLine="0" w:firstLineChars="0"/>
              <w:rPr>
                <w:szCs w:val="21"/>
                <w:highlight w:val="none"/>
              </w:rPr>
            </w:pPr>
            <w:r>
              <w:rPr>
                <w:szCs w:val="21"/>
                <w:highlight w:val="none"/>
              </w:rPr>
              <w:t>项目名称</w:t>
            </w:r>
          </w:p>
        </w:tc>
        <w:tc>
          <w:tcPr>
            <w:tcW w:w="3077" w:type="pct"/>
            <w:vAlign w:val="center"/>
          </w:tcPr>
          <w:p w14:paraId="48B69178">
            <w:pPr>
              <w:keepLines/>
              <w:widowControl/>
              <w:spacing w:line="360" w:lineRule="exact"/>
              <w:ind w:firstLine="0" w:firstLineChars="0"/>
              <w:rPr>
                <w:rFonts w:hint="eastAsia" w:eastAsia="宋体"/>
                <w:szCs w:val="21"/>
                <w:highlight w:val="none"/>
                <w:lang w:eastAsia="zh-CN"/>
              </w:rPr>
            </w:pPr>
            <w:r>
              <w:rPr>
                <w:rFonts w:hint="eastAsia" w:eastAsiaTheme="minorEastAsia"/>
                <w:szCs w:val="21"/>
                <w:highlight w:val="none"/>
                <w:lang w:eastAsia="zh-CN"/>
              </w:rPr>
              <w:t>2026-2028年综保区冷链保险服务采购项目</w:t>
            </w:r>
          </w:p>
        </w:tc>
      </w:tr>
      <w:tr w14:paraId="30568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69" w:type="pct"/>
            <w:vAlign w:val="center"/>
          </w:tcPr>
          <w:p w14:paraId="160F081F">
            <w:pPr>
              <w:keepLines/>
              <w:widowControl/>
              <w:spacing w:line="360" w:lineRule="exact"/>
              <w:ind w:firstLine="0" w:firstLineChars="0"/>
              <w:jc w:val="center"/>
              <w:rPr>
                <w:szCs w:val="21"/>
                <w:highlight w:val="none"/>
              </w:rPr>
            </w:pPr>
            <w:r>
              <w:rPr>
                <w:szCs w:val="21"/>
                <w:highlight w:val="none"/>
              </w:rPr>
              <w:t>1.1.3</w:t>
            </w:r>
          </w:p>
        </w:tc>
        <w:tc>
          <w:tcPr>
            <w:tcW w:w="1252" w:type="pct"/>
            <w:vAlign w:val="center"/>
          </w:tcPr>
          <w:p w14:paraId="59B75B1C">
            <w:pPr>
              <w:keepLines/>
              <w:widowControl/>
              <w:spacing w:line="360" w:lineRule="exact"/>
              <w:ind w:firstLine="0" w:firstLineChars="0"/>
              <w:rPr>
                <w:szCs w:val="21"/>
                <w:highlight w:val="none"/>
              </w:rPr>
            </w:pPr>
            <w:r>
              <w:rPr>
                <w:rFonts w:hint="eastAsia"/>
                <w:szCs w:val="21"/>
                <w:highlight w:val="none"/>
                <w:lang w:val="en-US" w:eastAsia="zh-CN"/>
              </w:rPr>
              <w:t>项目</w:t>
            </w:r>
            <w:r>
              <w:rPr>
                <w:szCs w:val="21"/>
                <w:highlight w:val="none"/>
              </w:rPr>
              <w:t>地点</w:t>
            </w:r>
          </w:p>
        </w:tc>
        <w:tc>
          <w:tcPr>
            <w:tcW w:w="3077" w:type="pct"/>
            <w:vAlign w:val="center"/>
          </w:tcPr>
          <w:p w14:paraId="6A2F36CF">
            <w:pPr>
              <w:keepLines/>
              <w:widowControl/>
              <w:spacing w:line="360" w:lineRule="exact"/>
              <w:ind w:firstLine="0" w:firstLineChars="0"/>
              <w:rPr>
                <w:szCs w:val="21"/>
                <w:highlight w:val="none"/>
              </w:rPr>
            </w:pPr>
            <w:r>
              <w:rPr>
                <w:rFonts w:hint="eastAsia"/>
                <w:szCs w:val="21"/>
                <w:highlight w:val="none"/>
              </w:rPr>
              <w:t>连云港</w:t>
            </w:r>
            <w:r>
              <w:rPr>
                <w:szCs w:val="21"/>
                <w:highlight w:val="none"/>
              </w:rPr>
              <w:t>徐圩新区</w:t>
            </w:r>
          </w:p>
        </w:tc>
      </w:tr>
      <w:tr w14:paraId="4E0B3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69" w:type="pct"/>
            <w:vAlign w:val="center"/>
          </w:tcPr>
          <w:p w14:paraId="020A6EAB">
            <w:pPr>
              <w:keepLines/>
              <w:widowControl/>
              <w:spacing w:line="360" w:lineRule="exact"/>
              <w:ind w:firstLine="0" w:firstLineChars="0"/>
              <w:jc w:val="center"/>
              <w:rPr>
                <w:szCs w:val="21"/>
                <w:highlight w:val="none"/>
              </w:rPr>
            </w:pPr>
            <w:r>
              <w:rPr>
                <w:szCs w:val="21"/>
                <w:highlight w:val="none"/>
              </w:rPr>
              <w:t>1.2.1</w:t>
            </w:r>
          </w:p>
        </w:tc>
        <w:tc>
          <w:tcPr>
            <w:tcW w:w="1252" w:type="pct"/>
            <w:vAlign w:val="center"/>
          </w:tcPr>
          <w:p w14:paraId="654455E2">
            <w:pPr>
              <w:keepLines/>
              <w:widowControl/>
              <w:spacing w:line="360" w:lineRule="exact"/>
              <w:ind w:firstLine="0" w:firstLineChars="0"/>
              <w:rPr>
                <w:szCs w:val="21"/>
                <w:highlight w:val="none"/>
              </w:rPr>
            </w:pPr>
            <w:r>
              <w:rPr>
                <w:szCs w:val="21"/>
                <w:highlight w:val="none"/>
              </w:rPr>
              <w:t>资金来源</w:t>
            </w:r>
          </w:p>
        </w:tc>
        <w:tc>
          <w:tcPr>
            <w:tcW w:w="3077" w:type="pct"/>
            <w:vAlign w:val="center"/>
          </w:tcPr>
          <w:p w14:paraId="099FAF0D">
            <w:pPr>
              <w:keepLines/>
              <w:widowControl/>
              <w:spacing w:line="360" w:lineRule="exact"/>
              <w:ind w:firstLine="0" w:firstLineChars="0"/>
              <w:rPr>
                <w:szCs w:val="21"/>
                <w:highlight w:val="none"/>
              </w:rPr>
            </w:pPr>
            <w:r>
              <w:rPr>
                <w:szCs w:val="21"/>
                <w:highlight w:val="none"/>
              </w:rPr>
              <w:t>企业自筹</w:t>
            </w:r>
          </w:p>
        </w:tc>
      </w:tr>
      <w:tr w14:paraId="7FF4E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69" w:type="pct"/>
            <w:vAlign w:val="center"/>
          </w:tcPr>
          <w:p w14:paraId="1F730D24">
            <w:pPr>
              <w:keepLines/>
              <w:widowControl/>
              <w:spacing w:line="360" w:lineRule="exact"/>
              <w:ind w:firstLine="0" w:firstLineChars="0"/>
              <w:jc w:val="center"/>
              <w:rPr>
                <w:szCs w:val="21"/>
                <w:highlight w:val="none"/>
              </w:rPr>
            </w:pPr>
            <w:r>
              <w:rPr>
                <w:szCs w:val="21"/>
                <w:highlight w:val="none"/>
              </w:rPr>
              <w:t>1.2.2</w:t>
            </w:r>
          </w:p>
        </w:tc>
        <w:tc>
          <w:tcPr>
            <w:tcW w:w="1252" w:type="pct"/>
            <w:vAlign w:val="center"/>
          </w:tcPr>
          <w:p w14:paraId="1BCBE88F">
            <w:pPr>
              <w:keepLines/>
              <w:widowControl/>
              <w:spacing w:line="360" w:lineRule="exact"/>
              <w:ind w:firstLine="0" w:firstLineChars="0"/>
              <w:rPr>
                <w:szCs w:val="21"/>
                <w:highlight w:val="none"/>
              </w:rPr>
            </w:pPr>
            <w:r>
              <w:rPr>
                <w:szCs w:val="21"/>
                <w:highlight w:val="none"/>
              </w:rPr>
              <w:t>出资比例</w:t>
            </w:r>
          </w:p>
        </w:tc>
        <w:tc>
          <w:tcPr>
            <w:tcW w:w="3077" w:type="pct"/>
            <w:vAlign w:val="center"/>
          </w:tcPr>
          <w:p w14:paraId="78A57E8D">
            <w:pPr>
              <w:keepLines/>
              <w:widowControl/>
              <w:spacing w:line="360" w:lineRule="exact"/>
              <w:ind w:firstLine="0" w:firstLineChars="0"/>
              <w:rPr>
                <w:szCs w:val="21"/>
                <w:highlight w:val="none"/>
              </w:rPr>
            </w:pPr>
            <w:r>
              <w:rPr>
                <w:szCs w:val="21"/>
                <w:highlight w:val="none"/>
              </w:rPr>
              <w:t>100%</w:t>
            </w:r>
          </w:p>
        </w:tc>
      </w:tr>
      <w:tr w14:paraId="0BEF9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69" w:type="pct"/>
            <w:vAlign w:val="center"/>
          </w:tcPr>
          <w:p w14:paraId="716D719F">
            <w:pPr>
              <w:keepLines/>
              <w:widowControl/>
              <w:spacing w:line="360" w:lineRule="exact"/>
              <w:ind w:firstLine="0" w:firstLineChars="0"/>
              <w:jc w:val="center"/>
              <w:rPr>
                <w:szCs w:val="21"/>
                <w:highlight w:val="none"/>
              </w:rPr>
            </w:pPr>
            <w:r>
              <w:rPr>
                <w:szCs w:val="21"/>
                <w:highlight w:val="none"/>
              </w:rPr>
              <w:t>1.2.3</w:t>
            </w:r>
          </w:p>
        </w:tc>
        <w:tc>
          <w:tcPr>
            <w:tcW w:w="1252" w:type="pct"/>
            <w:vAlign w:val="center"/>
          </w:tcPr>
          <w:p w14:paraId="0EACCBFD">
            <w:pPr>
              <w:keepLines/>
              <w:widowControl/>
              <w:spacing w:line="360" w:lineRule="exact"/>
              <w:ind w:firstLine="0" w:firstLineChars="0"/>
              <w:rPr>
                <w:szCs w:val="21"/>
                <w:highlight w:val="none"/>
              </w:rPr>
            </w:pPr>
            <w:r>
              <w:rPr>
                <w:szCs w:val="21"/>
                <w:highlight w:val="none"/>
              </w:rPr>
              <w:t>资金落实情况</w:t>
            </w:r>
          </w:p>
        </w:tc>
        <w:tc>
          <w:tcPr>
            <w:tcW w:w="3077" w:type="pct"/>
            <w:vAlign w:val="center"/>
          </w:tcPr>
          <w:p w14:paraId="161A59B1">
            <w:pPr>
              <w:keepLines/>
              <w:widowControl/>
              <w:spacing w:line="360" w:lineRule="exact"/>
              <w:ind w:firstLine="0" w:firstLineChars="0"/>
              <w:rPr>
                <w:szCs w:val="21"/>
                <w:highlight w:val="none"/>
              </w:rPr>
            </w:pPr>
            <w:r>
              <w:rPr>
                <w:szCs w:val="21"/>
                <w:highlight w:val="none"/>
              </w:rPr>
              <w:t>已落实</w:t>
            </w:r>
          </w:p>
        </w:tc>
      </w:tr>
      <w:tr w14:paraId="6F84D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69" w:type="pct"/>
            <w:vAlign w:val="center"/>
          </w:tcPr>
          <w:p w14:paraId="01B2498B">
            <w:pPr>
              <w:keepLines/>
              <w:widowControl/>
              <w:spacing w:line="360" w:lineRule="exact"/>
              <w:ind w:firstLine="0" w:firstLineChars="0"/>
              <w:jc w:val="center"/>
              <w:rPr>
                <w:szCs w:val="21"/>
                <w:highlight w:val="none"/>
              </w:rPr>
            </w:pPr>
            <w:r>
              <w:rPr>
                <w:szCs w:val="21"/>
                <w:highlight w:val="none"/>
              </w:rPr>
              <w:t>1.2.4</w:t>
            </w:r>
          </w:p>
        </w:tc>
        <w:tc>
          <w:tcPr>
            <w:tcW w:w="1252" w:type="pct"/>
            <w:vAlign w:val="center"/>
          </w:tcPr>
          <w:p w14:paraId="2FBC1A3C">
            <w:pPr>
              <w:keepLines/>
              <w:widowControl/>
              <w:spacing w:line="360" w:lineRule="exact"/>
              <w:ind w:firstLine="0" w:firstLineChars="0"/>
              <w:rPr>
                <w:szCs w:val="21"/>
                <w:highlight w:val="none"/>
              </w:rPr>
            </w:pPr>
            <w:r>
              <w:rPr>
                <w:szCs w:val="21"/>
                <w:highlight w:val="none"/>
              </w:rPr>
              <w:t>支付方式</w:t>
            </w:r>
          </w:p>
        </w:tc>
        <w:tc>
          <w:tcPr>
            <w:tcW w:w="3077" w:type="pct"/>
            <w:vAlign w:val="center"/>
          </w:tcPr>
          <w:p w14:paraId="7920043F">
            <w:pPr>
              <w:spacing w:line="360" w:lineRule="exact"/>
              <w:ind w:firstLine="0" w:firstLineChars="0"/>
              <w:rPr>
                <w:rFonts w:hint="eastAsia"/>
                <w:highlight w:val="none"/>
                <w:lang w:val="en-US" w:eastAsia="zh-CN"/>
              </w:rPr>
            </w:pPr>
            <w:r>
              <w:rPr>
                <w:rFonts w:hint="eastAsia"/>
                <w:highlight w:val="none"/>
                <w:lang w:val="en-US" w:eastAsia="zh-CN"/>
              </w:rPr>
              <w:t>按照周期年出具保单并开票付款，具体如下：</w:t>
            </w:r>
          </w:p>
          <w:p w14:paraId="580174D3">
            <w:pPr>
              <w:spacing w:line="360" w:lineRule="exact"/>
              <w:ind w:firstLine="0" w:firstLineChars="0"/>
              <w:rPr>
                <w:rFonts w:hint="eastAsia"/>
                <w:highlight w:val="none"/>
                <w:lang w:val="en-US" w:eastAsia="zh-CN"/>
              </w:rPr>
            </w:pPr>
            <w:r>
              <w:rPr>
                <w:rFonts w:hint="eastAsia"/>
                <w:highlight w:val="none"/>
                <w:lang w:val="en-US" w:eastAsia="zh-CN"/>
              </w:rPr>
              <w:t>合同签订后，保险人按照要求出具第一个周期年的保单，并开具对应金额的增值税专用发票（税率6%），被保险人收到保单和发票并审核确认后在30日内向保险人支付相关保费。</w:t>
            </w:r>
          </w:p>
          <w:p w14:paraId="513614C3">
            <w:pPr>
              <w:spacing w:line="360" w:lineRule="exact"/>
              <w:ind w:firstLine="0" w:firstLineChars="0"/>
              <w:rPr>
                <w:rFonts w:hint="eastAsia"/>
                <w:highlight w:val="none"/>
                <w:lang w:val="en-US" w:eastAsia="zh-CN"/>
              </w:rPr>
            </w:pPr>
            <w:r>
              <w:rPr>
                <w:rFonts w:hint="eastAsia"/>
                <w:highlight w:val="none"/>
                <w:lang w:val="en-US" w:eastAsia="zh-CN"/>
              </w:rPr>
              <w:t>在第一批次保单到期前1个月内，保险人按照要求出具第二个周期年的保单，并开具对应金额的增值税专用发票（税率6%），被保险人收到保单和发票并审核确认后在30日内向保险人支付相关保费。</w:t>
            </w:r>
          </w:p>
          <w:p w14:paraId="5807C6A9">
            <w:pPr>
              <w:spacing w:line="360" w:lineRule="exact"/>
              <w:ind w:firstLine="0" w:firstLineChars="0"/>
              <w:rPr>
                <w:highlight w:val="none"/>
              </w:rPr>
            </w:pPr>
            <w:r>
              <w:rPr>
                <w:rFonts w:hint="eastAsia"/>
                <w:highlight w:val="none"/>
              </w:rPr>
              <w:t>每次付款前乙方需提供税率为6%的增值税专用发票，若乙方未按合同约定及时提供发票，甲方有权拒绝付款的，延迟付款责任由乙方自行承担。因国家税制改革或乙方为小规模纳税人而引发的增值税税率的变化，本合同适用调整后的最新税率，合同原不含税价格保持不变。</w:t>
            </w:r>
          </w:p>
        </w:tc>
      </w:tr>
      <w:tr w14:paraId="5552B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69" w:type="pct"/>
            <w:vAlign w:val="center"/>
          </w:tcPr>
          <w:p w14:paraId="576CF0A6">
            <w:pPr>
              <w:keepLines/>
              <w:widowControl/>
              <w:spacing w:line="360" w:lineRule="exact"/>
              <w:ind w:firstLine="0" w:firstLineChars="0"/>
              <w:jc w:val="center"/>
              <w:rPr>
                <w:szCs w:val="21"/>
                <w:highlight w:val="none"/>
              </w:rPr>
            </w:pPr>
            <w:r>
              <w:rPr>
                <w:szCs w:val="21"/>
                <w:highlight w:val="none"/>
              </w:rPr>
              <w:t>1.3.1</w:t>
            </w:r>
          </w:p>
        </w:tc>
        <w:tc>
          <w:tcPr>
            <w:tcW w:w="1252" w:type="pct"/>
            <w:vAlign w:val="center"/>
          </w:tcPr>
          <w:p w14:paraId="0958F9BC">
            <w:pPr>
              <w:keepLines/>
              <w:widowControl/>
              <w:spacing w:line="360" w:lineRule="exact"/>
              <w:ind w:firstLine="0" w:firstLineChars="0"/>
              <w:rPr>
                <w:szCs w:val="21"/>
                <w:highlight w:val="none"/>
              </w:rPr>
            </w:pPr>
            <w:r>
              <w:rPr>
                <w:szCs w:val="21"/>
                <w:highlight w:val="none"/>
              </w:rPr>
              <w:t>采购范围</w:t>
            </w:r>
          </w:p>
        </w:tc>
        <w:tc>
          <w:tcPr>
            <w:tcW w:w="3077" w:type="pct"/>
            <w:vAlign w:val="center"/>
          </w:tcPr>
          <w:p w14:paraId="35714437">
            <w:pPr>
              <w:pStyle w:val="2"/>
              <w:keepLines/>
              <w:widowControl/>
              <w:spacing w:after="0" w:line="360" w:lineRule="exact"/>
              <w:ind w:firstLine="0" w:firstLineChars="0"/>
              <w:rPr>
                <w:szCs w:val="21"/>
                <w:highlight w:val="none"/>
              </w:rPr>
            </w:pPr>
            <w:r>
              <w:rPr>
                <w:szCs w:val="21"/>
                <w:highlight w:val="none"/>
              </w:rPr>
              <w:t>详见竞争性谈判公告</w:t>
            </w:r>
          </w:p>
        </w:tc>
      </w:tr>
      <w:tr w14:paraId="75D515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669" w:type="pct"/>
            <w:tcBorders>
              <w:top w:val="single" w:color="auto" w:sz="4" w:space="0"/>
              <w:left w:val="single" w:color="auto" w:sz="4" w:space="0"/>
              <w:bottom w:val="single" w:color="auto" w:sz="4" w:space="0"/>
              <w:right w:val="single" w:color="auto" w:sz="4" w:space="0"/>
            </w:tcBorders>
            <w:vAlign w:val="center"/>
          </w:tcPr>
          <w:p w14:paraId="6256E07F">
            <w:pPr>
              <w:keepLines/>
              <w:widowControl/>
              <w:adjustRightInd w:val="0"/>
              <w:snapToGrid w:val="0"/>
              <w:spacing w:line="360" w:lineRule="exact"/>
              <w:ind w:firstLine="0" w:firstLineChars="0"/>
              <w:jc w:val="center"/>
              <w:rPr>
                <w:rFonts w:eastAsiaTheme="minorEastAsia"/>
                <w:szCs w:val="21"/>
                <w:highlight w:val="none"/>
              </w:rPr>
            </w:pPr>
            <w:r>
              <w:rPr>
                <w:rFonts w:eastAsiaTheme="minorEastAsia"/>
                <w:szCs w:val="21"/>
                <w:highlight w:val="none"/>
              </w:rPr>
              <w:t>1.3.2</w:t>
            </w:r>
          </w:p>
        </w:tc>
        <w:tc>
          <w:tcPr>
            <w:tcW w:w="1252" w:type="pct"/>
            <w:tcBorders>
              <w:top w:val="single" w:color="auto" w:sz="4" w:space="0"/>
              <w:left w:val="single" w:color="auto" w:sz="4" w:space="0"/>
              <w:bottom w:val="single" w:color="auto" w:sz="4" w:space="0"/>
              <w:right w:val="single" w:color="auto" w:sz="4" w:space="0"/>
            </w:tcBorders>
            <w:vAlign w:val="center"/>
          </w:tcPr>
          <w:p w14:paraId="39EF56A8">
            <w:pPr>
              <w:keepLines/>
              <w:widowControl/>
              <w:spacing w:line="360" w:lineRule="exact"/>
              <w:ind w:firstLine="0" w:firstLineChars="0"/>
              <w:rPr>
                <w:rFonts w:hint="eastAsia" w:eastAsiaTheme="minorEastAsia"/>
                <w:szCs w:val="21"/>
                <w:highlight w:val="none"/>
                <w:lang w:eastAsia="zh-CN"/>
              </w:rPr>
            </w:pPr>
            <w:r>
              <w:rPr>
                <w:rFonts w:hint="eastAsia" w:eastAsiaTheme="minorEastAsia"/>
                <w:szCs w:val="21"/>
                <w:highlight w:val="none"/>
                <w:lang w:val="en-US" w:eastAsia="zh-CN"/>
              </w:rPr>
              <w:t>服务期</w:t>
            </w:r>
          </w:p>
        </w:tc>
        <w:tc>
          <w:tcPr>
            <w:tcW w:w="3077" w:type="pct"/>
            <w:tcBorders>
              <w:top w:val="single" w:color="auto" w:sz="4" w:space="0"/>
              <w:left w:val="single" w:color="auto" w:sz="4" w:space="0"/>
              <w:bottom w:val="single" w:color="auto" w:sz="4" w:space="0"/>
              <w:right w:val="single" w:color="auto" w:sz="4" w:space="0"/>
            </w:tcBorders>
            <w:vAlign w:val="center"/>
          </w:tcPr>
          <w:p w14:paraId="2DDC41CD">
            <w:pPr>
              <w:keepLines/>
              <w:widowControl/>
              <w:spacing w:line="360" w:lineRule="exact"/>
              <w:ind w:firstLine="0" w:firstLineChars="0"/>
              <w:rPr>
                <w:rFonts w:eastAsiaTheme="minorEastAsia"/>
                <w:kern w:val="0"/>
                <w:szCs w:val="21"/>
                <w:highlight w:val="none"/>
              </w:rPr>
            </w:pPr>
            <w:r>
              <w:rPr>
                <w:szCs w:val="21"/>
                <w:highlight w:val="none"/>
              </w:rPr>
              <w:t>详见竞争性谈判公告</w:t>
            </w:r>
          </w:p>
        </w:tc>
      </w:tr>
      <w:tr w14:paraId="6B0CC4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669" w:type="pct"/>
            <w:tcBorders>
              <w:top w:val="single" w:color="auto" w:sz="4" w:space="0"/>
              <w:left w:val="single" w:color="auto" w:sz="4" w:space="0"/>
              <w:bottom w:val="single" w:color="auto" w:sz="4" w:space="0"/>
              <w:right w:val="single" w:color="auto" w:sz="4" w:space="0"/>
            </w:tcBorders>
            <w:vAlign w:val="center"/>
          </w:tcPr>
          <w:p w14:paraId="0AB94D73">
            <w:pPr>
              <w:keepLines/>
              <w:widowControl/>
              <w:adjustRightInd w:val="0"/>
              <w:snapToGrid w:val="0"/>
              <w:spacing w:line="360" w:lineRule="exact"/>
              <w:ind w:firstLine="0" w:firstLineChars="0"/>
              <w:jc w:val="center"/>
              <w:rPr>
                <w:rFonts w:eastAsiaTheme="minorEastAsia"/>
                <w:szCs w:val="21"/>
                <w:highlight w:val="none"/>
              </w:rPr>
            </w:pPr>
            <w:r>
              <w:rPr>
                <w:rFonts w:eastAsiaTheme="minorEastAsia"/>
                <w:szCs w:val="21"/>
                <w:highlight w:val="none"/>
              </w:rPr>
              <w:t>1.3.3</w:t>
            </w:r>
          </w:p>
        </w:tc>
        <w:tc>
          <w:tcPr>
            <w:tcW w:w="1252" w:type="pct"/>
            <w:tcBorders>
              <w:top w:val="single" w:color="auto" w:sz="4" w:space="0"/>
              <w:left w:val="single" w:color="auto" w:sz="4" w:space="0"/>
              <w:bottom w:val="single" w:color="auto" w:sz="4" w:space="0"/>
              <w:right w:val="single" w:color="auto" w:sz="4" w:space="0"/>
            </w:tcBorders>
            <w:vAlign w:val="center"/>
          </w:tcPr>
          <w:p w14:paraId="01DCF3A5">
            <w:pPr>
              <w:keepLines/>
              <w:widowControl/>
              <w:adjustRightInd w:val="0"/>
              <w:snapToGrid w:val="0"/>
              <w:spacing w:line="360" w:lineRule="exact"/>
              <w:ind w:firstLine="0" w:firstLineChars="0"/>
              <w:rPr>
                <w:rFonts w:eastAsiaTheme="minorEastAsia"/>
                <w:szCs w:val="21"/>
                <w:highlight w:val="none"/>
              </w:rPr>
            </w:pPr>
            <w:r>
              <w:rPr>
                <w:rFonts w:eastAsiaTheme="minorEastAsia"/>
                <w:szCs w:val="21"/>
                <w:highlight w:val="none"/>
              </w:rPr>
              <w:t>质量要求</w:t>
            </w:r>
          </w:p>
        </w:tc>
        <w:tc>
          <w:tcPr>
            <w:tcW w:w="3077" w:type="pct"/>
            <w:tcBorders>
              <w:top w:val="single" w:color="auto" w:sz="4" w:space="0"/>
              <w:left w:val="single" w:color="auto" w:sz="4" w:space="0"/>
              <w:bottom w:val="single" w:color="auto" w:sz="4" w:space="0"/>
              <w:right w:val="single" w:color="auto" w:sz="4" w:space="0"/>
            </w:tcBorders>
            <w:vAlign w:val="center"/>
          </w:tcPr>
          <w:p w14:paraId="147BC3A1">
            <w:pPr>
              <w:keepLines/>
              <w:widowControl/>
              <w:adjustRightInd w:val="0"/>
              <w:snapToGrid w:val="0"/>
              <w:spacing w:line="360" w:lineRule="exact"/>
              <w:ind w:firstLine="0" w:firstLineChars="0"/>
              <w:rPr>
                <w:rFonts w:eastAsiaTheme="minorEastAsia"/>
                <w:szCs w:val="21"/>
                <w:highlight w:val="none"/>
              </w:rPr>
            </w:pPr>
            <w:r>
              <w:rPr>
                <w:rFonts w:eastAsiaTheme="minorEastAsia"/>
                <w:szCs w:val="21"/>
                <w:highlight w:val="none"/>
              </w:rPr>
              <w:t>合格，满足竞争性谈判文件及采购人要求</w:t>
            </w:r>
          </w:p>
        </w:tc>
      </w:tr>
      <w:tr w14:paraId="43FC36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669" w:type="pct"/>
            <w:tcBorders>
              <w:top w:val="single" w:color="auto" w:sz="4" w:space="0"/>
              <w:left w:val="single" w:color="auto" w:sz="4" w:space="0"/>
              <w:bottom w:val="single" w:color="auto" w:sz="4" w:space="0"/>
              <w:right w:val="single" w:color="auto" w:sz="4" w:space="0"/>
            </w:tcBorders>
            <w:vAlign w:val="center"/>
          </w:tcPr>
          <w:p w14:paraId="63D342B1">
            <w:pPr>
              <w:keepLines/>
              <w:widowControl/>
              <w:adjustRightInd w:val="0"/>
              <w:snapToGrid w:val="0"/>
              <w:spacing w:line="360" w:lineRule="exact"/>
              <w:ind w:firstLine="0" w:firstLineChars="0"/>
              <w:jc w:val="center"/>
              <w:rPr>
                <w:rFonts w:eastAsiaTheme="minorEastAsia"/>
                <w:szCs w:val="21"/>
                <w:highlight w:val="none"/>
              </w:rPr>
            </w:pPr>
            <w:r>
              <w:rPr>
                <w:rFonts w:eastAsiaTheme="minorEastAsia"/>
                <w:szCs w:val="21"/>
                <w:highlight w:val="none"/>
              </w:rPr>
              <w:t>1.4.1</w:t>
            </w:r>
          </w:p>
        </w:tc>
        <w:tc>
          <w:tcPr>
            <w:tcW w:w="1252" w:type="pct"/>
            <w:tcBorders>
              <w:top w:val="single" w:color="auto" w:sz="4" w:space="0"/>
              <w:left w:val="single" w:color="auto" w:sz="4" w:space="0"/>
              <w:bottom w:val="single" w:color="auto" w:sz="4" w:space="0"/>
              <w:right w:val="single" w:color="auto" w:sz="4" w:space="0"/>
            </w:tcBorders>
            <w:vAlign w:val="center"/>
          </w:tcPr>
          <w:p w14:paraId="3AB26B39">
            <w:pPr>
              <w:keepLines/>
              <w:widowControl/>
              <w:adjustRightInd w:val="0"/>
              <w:snapToGrid w:val="0"/>
              <w:spacing w:line="360" w:lineRule="exact"/>
              <w:ind w:firstLine="0" w:firstLineChars="0"/>
              <w:rPr>
                <w:rFonts w:eastAsiaTheme="minorEastAsia"/>
                <w:szCs w:val="21"/>
                <w:highlight w:val="none"/>
              </w:rPr>
            </w:pPr>
            <w:r>
              <w:rPr>
                <w:rFonts w:eastAsiaTheme="minorEastAsia"/>
                <w:szCs w:val="21"/>
                <w:highlight w:val="none"/>
              </w:rPr>
              <w:t>供应商资格要求</w:t>
            </w:r>
          </w:p>
        </w:tc>
        <w:tc>
          <w:tcPr>
            <w:tcW w:w="3077" w:type="pct"/>
            <w:tcBorders>
              <w:top w:val="single" w:color="auto" w:sz="4" w:space="0"/>
              <w:left w:val="single" w:color="auto" w:sz="4" w:space="0"/>
              <w:bottom w:val="single" w:color="auto" w:sz="4" w:space="0"/>
              <w:right w:val="single" w:color="auto" w:sz="4" w:space="0"/>
            </w:tcBorders>
            <w:vAlign w:val="center"/>
          </w:tcPr>
          <w:p w14:paraId="69C84B43">
            <w:pPr>
              <w:keepLines/>
              <w:widowControl/>
              <w:adjustRightInd w:val="0"/>
              <w:snapToGrid w:val="0"/>
              <w:spacing w:line="360" w:lineRule="exact"/>
              <w:ind w:firstLine="0" w:firstLineChars="0"/>
              <w:rPr>
                <w:rFonts w:eastAsiaTheme="minorEastAsia"/>
                <w:szCs w:val="21"/>
                <w:highlight w:val="none"/>
              </w:rPr>
            </w:pPr>
            <w:r>
              <w:rPr>
                <w:rFonts w:eastAsiaTheme="minorEastAsia"/>
                <w:szCs w:val="21"/>
                <w:highlight w:val="none"/>
              </w:rPr>
              <w:t>详见竞争性谈判公告</w:t>
            </w:r>
          </w:p>
        </w:tc>
      </w:tr>
      <w:tr w14:paraId="73AA39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669" w:type="pct"/>
            <w:tcBorders>
              <w:top w:val="single" w:color="auto" w:sz="4" w:space="0"/>
              <w:left w:val="single" w:color="auto" w:sz="4" w:space="0"/>
              <w:bottom w:val="single" w:color="auto" w:sz="4" w:space="0"/>
              <w:right w:val="single" w:color="auto" w:sz="4" w:space="0"/>
            </w:tcBorders>
            <w:vAlign w:val="center"/>
          </w:tcPr>
          <w:p w14:paraId="3DB88C89">
            <w:pPr>
              <w:keepLines/>
              <w:widowControl/>
              <w:adjustRightInd w:val="0"/>
              <w:snapToGrid w:val="0"/>
              <w:spacing w:line="360" w:lineRule="exact"/>
              <w:ind w:firstLine="0" w:firstLineChars="0"/>
              <w:jc w:val="center"/>
              <w:rPr>
                <w:rFonts w:eastAsiaTheme="minorEastAsia"/>
                <w:szCs w:val="21"/>
                <w:highlight w:val="none"/>
              </w:rPr>
            </w:pPr>
            <w:r>
              <w:rPr>
                <w:rFonts w:eastAsiaTheme="minorEastAsia"/>
                <w:szCs w:val="21"/>
                <w:highlight w:val="none"/>
              </w:rPr>
              <w:t>1.4.2</w:t>
            </w:r>
          </w:p>
        </w:tc>
        <w:tc>
          <w:tcPr>
            <w:tcW w:w="1252" w:type="pct"/>
            <w:tcBorders>
              <w:top w:val="single" w:color="auto" w:sz="4" w:space="0"/>
              <w:left w:val="single" w:color="auto" w:sz="4" w:space="0"/>
              <w:bottom w:val="single" w:color="auto" w:sz="4" w:space="0"/>
              <w:right w:val="single" w:color="auto" w:sz="4" w:space="0"/>
            </w:tcBorders>
            <w:vAlign w:val="center"/>
          </w:tcPr>
          <w:p w14:paraId="6BF43238">
            <w:pPr>
              <w:keepLines/>
              <w:widowControl/>
              <w:adjustRightInd w:val="0"/>
              <w:snapToGrid w:val="0"/>
              <w:spacing w:line="360" w:lineRule="exact"/>
              <w:ind w:firstLine="0" w:firstLineChars="0"/>
              <w:rPr>
                <w:rFonts w:eastAsiaTheme="minorEastAsia"/>
                <w:szCs w:val="21"/>
                <w:highlight w:val="none"/>
              </w:rPr>
            </w:pPr>
            <w:r>
              <w:rPr>
                <w:rFonts w:eastAsiaTheme="minorEastAsia"/>
                <w:szCs w:val="21"/>
                <w:highlight w:val="none"/>
              </w:rPr>
              <w:t>是否接受联合体</w:t>
            </w:r>
          </w:p>
        </w:tc>
        <w:tc>
          <w:tcPr>
            <w:tcW w:w="3077" w:type="pct"/>
            <w:tcBorders>
              <w:top w:val="single" w:color="auto" w:sz="4" w:space="0"/>
              <w:left w:val="single" w:color="auto" w:sz="4" w:space="0"/>
              <w:bottom w:val="single" w:color="auto" w:sz="4" w:space="0"/>
              <w:right w:val="single" w:color="auto" w:sz="4" w:space="0"/>
            </w:tcBorders>
            <w:vAlign w:val="center"/>
          </w:tcPr>
          <w:p w14:paraId="12376F01">
            <w:pPr>
              <w:keepLines/>
              <w:widowControl/>
              <w:adjustRightInd w:val="0"/>
              <w:snapToGrid w:val="0"/>
              <w:spacing w:line="360" w:lineRule="exact"/>
              <w:ind w:firstLine="0" w:firstLineChars="0"/>
              <w:rPr>
                <w:rFonts w:eastAsiaTheme="minorEastAsia"/>
                <w:szCs w:val="21"/>
                <w:highlight w:val="none"/>
              </w:rPr>
            </w:pPr>
            <w:r>
              <w:rPr>
                <w:rFonts w:eastAsiaTheme="minorEastAsia"/>
                <w:szCs w:val="21"/>
                <w:highlight w:val="none"/>
              </w:rPr>
              <w:t>详见竞争性谈判公告</w:t>
            </w:r>
          </w:p>
        </w:tc>
      </w:tr>
      <w:tr w14:paraId="504437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669" w:type="pct"/>
            <w:tcBorders>
              <w:top w:val="single" w:color="auto" w:sz="4" w:space="0"/>
              <w:left w:val="single" w:color="auto" w:sz="4" w:space="0"/>
              <w:bottom w:val="single" w:color="auto" w:sz="4" w:space="0"/>
              <w:right w:val="single" w:color="auto" w:sz="4" w:space="0"/>
            </w:tcBorders>
            <w:vAlign w:val="center"/>
          </w:tcPr>
          <w:p w14:paraId="645E7091">
            <w:pPr>
              <w:keepLines/>
              <w:widowControl/>
              <w:adjustRightInd w:val="0"/>
              <w:snapToGrid w:val="0"/>
              <w:spacing w:line="360" w:lineRule="exact"/>
              <w:ind w:firstLine="0" w:firstLineChars="0"/>
              <w:jc w:val="center"/>
              <w:rPr>
                <w:rFonts w:eastAsiaTheme="minorEastAsia"/>
                <w:szCs w:val="21"/>
                <w:highlight w:val="none"/>
              </w:rPr>
            </w:pPr>
            <w:r>
              <w:rPr>
                <w:rFonts w:eastAsiaTheme="minorEastAsia"/>
                <w:szCs w:val="21"/>
                <w:highlight w:val="none"/>
              </w:rPr>
              <w:t>1.9.1</w:t>
            </w:r>
          </w:p>
        </w:tc>
        <w:tc>
          <w:tcPr>
            <w:tcW w:w="1252" w:type="pct"/>
            <w:tcBorders>
              <w:top w:val="single" w:color="auto" w:sz="4" w:space="0"/>
              <w:left w:val="single" w:color="auto" w:sz="4" w:space="0"/>
              <w:bottom w:val="single" w:color="auto" w:sz="4" w:space="0"/>
              <w:right w:val="single" w:color="auto" w:sz="4" w:space="0"/>
            </w:tcBorders>
            <w:vAlign w:val="center"/>
          </w:tcPr>
          <w:p w14:paraId="161152E7">
            <w:pPr>
              <w:keepLines/>
              <w:widowControl/>
              <w:adjustRightInd w:val="0"/>
              <w:snapToGrid w:val="0"/>
              <w:spacing w:line="360" w:lineRule="exact"/>
              <w:ind w:firstLine="0" w:firstLineChars="0"/>
              <w:rPr>
                <w:rFonts w:eastAsiaTheme="minorEastAsia"/>
                <w:szCs w:val="21"/>
                <w:highlight w:val="none"/>
              </w:rPr>
            </w:pPr>
            <w:r>
              <w:rPr>
                <w:rFonts w:eastAsiaTheme="minorEastAsia"/>
                <w:szCs w:val="21"/>
                <w:highlight w:val="none"/>
              </w:rPr>
              <w:t>踏勘现场</w:t>
            </w:r>
          </w:p>
        </w:tc>
        <w:tc>
          <w:tcPr>
            <w:tcW w:w="3077" w:type="pct"/>
            <w:tcBorders>
              <w:top w:val="single" w:color="auto" w:sz="4" w:space="0"/>
              <w:left w:val="single" w:color="auto" w:sz="4" w:space="0"/>
              <w:bottom w:val="single" w:color="auto" w:sz="4" w:space="0"/>
              <w:right w:val="single" w:color="auto" w:sz="4" w:space="0"/>
            </w:tcBorders>
            <w:vAlign w:val="center"/>
          </w:tcPr>
          <w:p w14:paraId="31A634CC">
            <w:pPr>
              <w:keepLines/>
              <w:widowControl/>
              <w:adjustRightInd w:val="0"/>
              <w:snapToGrid w:val="0"/>
              <w:spacing w:line="360" w:lineRule="exact"/>
              <w:ind w:firstLine="0" w:firstLineChars="0"/>
              <w:rPr>
                <w:rFonts w:eastAsiaTheme="minorEastAsia"/>
                <w:szCs w:val="21"/>
                <w:highlight w:val="none"/>
              </w:rPr>
            </w:pPr>
            <w:r>
              <w:rPr>
                <w:rFonts w:eastAsiaTheme="minorEastAsia"/>
                <w:szCs w:val="21"/>
                <w:highlight w:val="none"/>
              </w:rPr>
              <w:t>供应商自行踏勘</w:t>
            </w:r>
          </w:p>
        </w:tc>
      </w:tr>
      <w:tr w14:paraId="735216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669" w:type="pct"/>
            <w:tcBorders>
              <w:top w:val="single" w:color="auto" w:sz="4" w:space="0"/>
              <w:left w:val="single" w:color="auto" w:sz="4" w:space="0"/>
              <w:bottom w:val="single" w:color="auto" w:sz="4" w:space="0"/>
              <w:right w:val="single" w:color="auto" w:sz="4" w:space="0"/>
            </w:tcBorders>
            <w:vAlign w:val="center"/>
          </w:tcPr>
          <w:p w14:paraId="6412D91C">
            <w:pPr>
              <w:keepLines/>
              <w:widowControl/>
              <w:adjustRightInd w:val="0"/>
              <w:snapToGrid w:val="0"/>
              <w:spacing w:line="360" w:lineRule="exact"/>
              <w:ind w:firstLine="0" w:firstLineChars="0"/>
              <w:jc w:val="center"/>
              <w:rPr>
                <w:rFonts w:eastAsiaTheme="minorEastAsia"/>
                <w:szCs w:val="21"/>
                <w:highlight w:val="none"/>
              </w:rPr>
            </w:pPr>
            <w:r>
              <w:rPr>
                <w:rFonts w:eastAsiaTheme="minorEastAsia"/>
                <w:szCs w:val="21"/>
                <w:highlight w:val="none"/>
              </w:rPr>
              <w:t>1.10</w:t>
            </w:r>
          </w:p>
        </w:tc>
        <w:tc>
          <w:tcPr>
            <w:tcW w:w="1252" w:type="pct"/>
            <w:tcBorders>
              <w:top w:val="single" w:color="auto" w:sz="4" w:space="0"/>
              <w:left w:val="single" w:color="auto" w:sz="4" w:space="0"/>
              <w:bottom w:val="single" w:color="auto" w:sz="4" w:space="0"/>
              <w:right w:val="single" w:color="auto" w:sz="4" w:space="0"/>
            </w:tcBorders>
            <w:vAlign w:val="center"/>
          </w:tcPr>
          <w:p w14:paraId="421FE150">
            <w:pPr>
              <w:keepLines/>
              <w:widowControl/>
              <w:adjustRightInd w:val="0"/>
              <w:snapToGrid w:val="0"/>
              <w:spacing w:line="360" w:lineRule="exact"/>
              <w:ind w:firstLine="0" w:firstLineChars="0"/>
              <w:rPr>
                <w:rFonts w:eastAsiaTheme="minorEastAsia"/>
                <w:szCs w:val="21"/>
                <w:highlight w:val="none"/>
              </w:rPr>
            </w:pPr>
            <w:r>
              <w:rPr>
                <w:rFonts w:eastAsiaTheme="minorEastAsia"/>
                <w:szCs w:val="21"/>
                <w:highlight w:val="none"/>
              </w:rPr>
              <w:t>分包</w:t>
            </w:r>
          </w:p>
        </w:tc>
        <w:tc>
          <w:tcPr>
            <w:tcW w:w="3077" w:type="pct"/>
            <w:tcBorders>
              <w:top w:val="single" w:color="auto" w:sz="4" w:space="0"/>
              <w:left w:val="single" w:color="auto" w:sz="4" w:space="0"/>
              <w:bottom w:val="single" w:color="auto" w:sz="4" w:space="0"/>
              <w:right w:val="single" w:color="auto" w:sz="4" w:space="0"/>
            </w:tcBorders>
            <w:vAlign w:val="center"/>
          </w:tcPr>
          <w:p w14:paraId="5C13813E">
            <w:pPr>
              <w:keepLines/>
              <w:widowControl/>
              <w:adjustRightInd w:val="0"/>
              <w:snapToGrid w:val="0"/>
              <w:spacing w:line="360" w:lineRule="exact"/>
              <w:ind w:firstLine="0" w:firstLineChars="0"/>
              <w:rPr>
                <w:rFonts w:eastAsiaTheme="minorEastAsia"/>
                <w:szCs w:val="21"/>
                <w:highlight w:val="none"/>
              </w:rPr>
            </w:pPr>
            <w:r>
              <w:rPr>
                <w:rFonts w:eastAsiaTheme="minorEastAsia"/>
                <w:szCs w:val="21"/>
                <w:highlight w:val="none"/>
              </w:rPr>
              <w:t>■需经采购人书面同意</w:t>
            </w:r>
          </w:p>
        </w:tc>
      </w:tr>
      <w:tr w14:paraId="3EA472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669" w:type="pct"/>
            <w:tcBorders>
              <w:top w:val="single" w:color="auto" w:sz="4" w:space="0"/>
              <w:left w:val="single" w:color="auto" w:sz="4" w:space="0"/>
              <w:bottom w:val="single" w:color="auto" w:sz="4" w:space="0"/>
              <w:right w:val="single" w:color="auto" w:sz="4" w:space="0"/>
            </w:tcBorders>
            <w:vAlign w:val="center"/>
          </w:tcPr>
          <w:p w14:paraId="2F413979">
            <w:pPr>
              <w:keepLines/>
              <w:widowControl/>
              <w:adjustRightInd w:val="0"/>
              <w:snapToGrid w:val="0"/>
              <w:spacing w:line="360" w:lineRule="exact"/>
              <w:ind w:firstLine="0" w:firstLineChars="0"/>
              <w:jc w:val="center"/>
              <w:rPr>
                <w:rFonts w:eastAsiaTheme="minorEastAsia"/>
                <w:szCs w:val="21"/>
                <w:highlight w:val="none"/>
              </w:rPr>
            </w:pPr>
            <w:r>
              <w:rPr>
                <w:rFonts w:eastAsiaTheme="minorEastAsia"/>
                <w:szCs w:val="21"/>
                <w:highlight w:val="none"/>
              </w:rPr>
              <w:t>2.1.1</w:t>
            </w:r>
          </w:p>
        </w:tc>
        <w:tc>
          <w:tcPr>
            <w:tcW w:w="1252" w:type="pct"/>
            <w:tcBorders>
              <w:top w:val="single" w:color="auto" w:sz="4" w:space="0"/>
              <w:left w:val="single" w:color="auto" w:sz="4" w:space="0"/>
              <w:bottom w:val="single" w:color="auto" w:sz="4" w:space="0"/>
              <w:right w:val="single" w:color="auto" w:sz="4" w:space="0"/>
            </w:tcBorders>
            <w:vAlign w:val="center"/>
          </w:tcPr>
          <w:p w14:paraId="7446949F">
            <w:pPr>
              <w:keepLines/>
              <w:widowControl/>
              <w:adjustRightInd w:val="0"/>
              <w:snapToGrid w:val="0"/>
              <w:spacing w:line="360" w:lineRule="exact"/>
              <w:ind w:firstLine="0" w:firstLineChars="0"/>
              <w:rPr>
                <w:rFonts w:eastAsiaTheme="minorEastAsia"/>
                <w:szCs w:val="21"/>
                <w:highlight w:val="none"/>
              </w:rPr>
            </w:pPr>
            <w:r>
              <w:rPr>
                <w:rFonts w:eastAsiaTheme="minorEastAsia"/>
                <w:szCs w:val="21"/>
                <w:highlight w:val="none"/>
              </w:rPr>
              <w:t>构成谈判文件的其他材料</w:t>
            </w:r>
          </w:p>
        </w:tc>
        <w:tc>
          <w:tcPr>
            <w:tcW w:w="3077" w:type="pct"/>
            <w:tcBorders>
              <w:top w:val="single" w:color="auto" w:sz="4" w:space="0"/>
              <w:left w:val="single" w:color="auto" w:sz="4" w:space="0"/>
              <w:bottom w:val="single" w:color="auto" w:sz="4" w:space="0"/>
              <w:right w:val="single" w:color="auto" w:sz="4" w:space="0"/>
            </w:tcBorders>
            <w:vAlign w:val="center"/>
          </w:tcPr>
          <w:p w14:paraId="52C08468">
            <w:pPr>
              <w:keepLines/>
              <w:widowControl/>
              <w:tabs>
                <w:tab w:val="left" w:pos="826"/>
              </w:tabs>
              <w:adjustRightInd w:val="0"/>
              <w:snapToGrid w:val="0"/>
              <w:spacing w:line="360" w:lineRule="exact"/>
              <w:ind w:firstLine="0" w:firstLineChars="0"/>
              <w:rPr>
                <w:rFonts w:eastAsiaTheme="minorEastAsia"/>
                <w:szCs w:val="21"/>
                <w:highlight w:val="none"/>
              </w:rPr>
            </w:pPr>
            <w:r>
              <w:rPr>
                <w:rFonts w:eastAsiaTheme="minorEastAsia"/>
                <w:szCs w:val="21"/>
                <w:highlight w:val="none"/>
              </w:rPr>
              <w:t>图纸、澄清、修改</w:t>
            </w:r>
          </w:p>
        </w:tc>
      </w:tr>
      <w:tr w14:paraId="272380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669" w:type="pct"/>
            <w:tcBorders>
              <w:top w:val="single" w:color="auto" w:sz="4" w:space="0"/>
              <w:left w:val="single" w:color="auto" w:sz="4" w:space="0"/>
              <w:bottom w:val="single" w:color="auto" w:sz="4" w:space="0"/>
              <w:right w:val="single" w:color="auto" w:sz="4" w:space="0"/>
            </w:tcBorders>
            <w:vAlign w:val="center"/>
          </w:tcPr>
          <w:p w14:paraId="45C20316">
            <w:pPr>
              <w:keepLines/>
              <w:widowControl/>
              <w:adjustRightInd w:val="0"/>
              <w:snapToGrid w:val="0"/>
              <w:spacing w:line="360" w:lineRule="exact"/>
              <w:ind w:firstLine="0" w:firstLineChars="0"/>
              <w:jc w:val="center"/>
              <w:rPr>
                <w:rFonts w:eastAsiaTheme="minorEastAsia"/>
                <w:szCs w:val="21"/>
                <w:highlight w:val="none"/>
              </w:rPr>
            </w:pPr>
            <w:r>
              <w:rPr>
                <w:rFonts w:eastAsiaTheme="minorEastAsia"/>
                <w:szCs w:val="21"/>
                <w:highlight w:val="none"/>
              </w:rPr>
              <w:t>2.2.1</w:t>
            </w:r>
          </w:p>
        </w:tc>
        <w:tc>
          <w:tcPr>
            <w:tcW w:w="1252" w:type="pct"/>
            <w:tcBorders>
              <w:top w:val="single" w:color="auto" w:sz="4" w:space="0"/>
              <w:left w:val="single" w:color="auto" w:sz="4" w:space="0"/>
              <w:bottom w:val="single" w:color="auto" w:sz="4" w:space="0"/>
              <w:right w:val="single" w:color="auto" w:sz="4" w:space="0"/>
            </w:tcBorders>
            <w:vAlign w:val="center"/>
          </w:tcPr>
          <w:p w14:paraId="3EFD3A49">
            <w:pPr>
              <w:keepLines/>
              <w:widowControl/>
              <w:adjustRightInd w:val="0"/>
              <w:snapToGrid w:val="0"/>
              <w:spacing w:line="360" w:lineRule="exact"/>
              <w:ind w:firstLine="0" w:firstLineChars="0"/>
              <w:rPr>
                <w:rFonts w:eastAsiaTheme="minorEastAsia"/>
                <w:szCs w:val="21"/>
                <w:highlight w:val="none"/>
              </w:rPr>
            </w:pPr>
            <w:r>
              <w:rPr>
                <w:rFonts w:eastAsiaTheme="minorEastAsia"/>
                <w:szCs w:val="21"/>
                <w:highlight w:val="none"/>
              </w:rPr>
              <w:t>供应商要求澄清谈判文件的截止时间</w:t>
            </w:r>
          </w:p>
        </w:tc>
        <w:tc>
          <w:tcPr>
            <w:tcW w:w="3077" w:type="pct"/>
            <w:tcBorders>
              <w:top w:val="single" w:color="auto" w:sz="4" w:space="0"/>
              <w:left w:val="single" w:color="auto" w:sz="4" w:space="0"/>
              <w:bottom w:val="single" w:color="auto" w:sz="4" w:space="0"/>
              <w:right w:val="single" w:color="auto" w:sz="4" w:space="0"/>
            </w:tcBorders>
            <w:vAlign w:val="center"/>
          </w:tcPr>
          <w:p w14:paraId="13B1CD73">
            <w:pPr>
              <w:keepLines/>
              <w:widowControl/>
              <w:spacing w:line="360" w:lineRule="exact"/>
              <w:ind w:firstLine="0" w:firstLineChars="0"/>
              <w:rPr>
                <w:rFonts w:eastAsiaTheme="minorEastAsia"/>
                <w:szCs w:val="21"/>
                <w:highlight w:val="none"/>
              </w:rPr>
            </w:pPr>
            <w:r>
              <w:rPr>
                <w:rFonts w:eastAsiaTheme="minorEastAsia"/>
                <w:szCs w:val="21"/>
                <w:highlight w:val="none"/>
              </w:rPr>
              <w:t>响应文件递交截止时间2日前</w:t>
            </w:r>
          </w:p>
        </w:tc>
      </w:tr>
      <w:tr w14:paraId="11E283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669" w:type="pct"/>
            <w:tcBorders>
              <w:top w:val="single" w:color="auto" w:sz="4" w:space="0"/>
              <w:left w:val="single" w:color="auto" w:sz="4" w:space="0"/>
              <w:bottom w:val="single" w:color="auto" w:sz="4" w:space="0"/>
              <w:right w:val="single" w:color="auto" w:sz="4" w:space="0"/>
            </w:tcBorders>
            <w:vAlign w:val="center"/>
          </w:tcPr>
          <w:p w14:paraId="18122CDE">
            <w:pPr>
              <w:keepLines/>
              <w:widowControl/>
              <w:adjustRightInd w:val="0"/>
              <w:snapToGrid w:val="0"/>
              <w:spacing w:line="360" w:lineRule="exact"/>
              <w:ind w:firstLine="0" w:firstLineChars="0"/>
              <w:jc w:val="center"/>
              <w:rPr>
                <w:rFonts w:eastAsiaTheme="minorEastAsia"/>
                <w:szCs w:val="21"/>
                <w:highlight w:val="none"/>
              </w:rPr>
            </w:pPr>
            <w:r>
              <w:rPr>
                <w:rFonts w:eastAsiaTheme="minorEastAsia"/>
                <w:szCs w:val="21"/>
                <w:highlight w:val="none"/>
              </w:rPr>
              <w:t>2.2.2</w:t>
            </w:r>
          </w:p>
        </w:tc>
        <w:tc>
          <w:tcPr>
            <w:tcW w:w="1252" w:type="pct"/>
            <w:tcBorders>
              <w:top w:val="single" w:color="auto" w:sz="4" w:space="0"/>
              <w:left w:val="single" w:color="auto" w:sz="4" w:space="0"/>
              <w:bottom w:val="single" w:color="auto" w:sz="4" w:space="0"/>
              <w:right w:val="single" w:color="auto" w:sz="4" w:space="0"/>
            </w:tcBorders>
            <w:vAlign w:val="center"/>
          </w:tcPr>
          <w:p w14:paraId="0C50110D">
            <w:pPr>
              <w:keepLines/>
              <w:widowControl/>
              <w:adjustRightInd w:val="0"/>
              <w:snapToGrid w:val="0"/>
              <w:spacing w:line="360" w:lineRule="exact"/>
              <w:ind w:firstLine="0" w:firstLineChars="0"/>
              <w:rPr>
                <w:rFonts w:eastAsiaTheme="minorEastAsia"/>
                <w:szCs w:val="21"/>
                <w:highlight w:val="none"/>
              </w:rPr>
            </w:pPr>
            <w:r>
              <w:rPr>
                <w:rFonts w:eastAsiaTheme="minorEastAsia"/>
                <w:szCs w:val="21"/>
                <w:highlight w:val="none"/>
              </w:rPr>
              <w:t>谈判文件澄清发布时间</w:t>
            </w:r>
          </w:p>
        </w:tc>
        <w:tc>
          <w:tcPr>
            <w:tcW w:w="3077" w:type="pct"/>
            <w:tcBorders>
              <w:top w:val="single" w:color="auto" w:sz="4" w:space="0"/>
              <w:left w:val="single" w:color="auto" w:sz="4" w:space="0"/>
              <w:bottom w:val="single" w:color="auto" w:sz="4" w:space="0"/>
              <w:right w:val="single" w:color="auto" w:sz="4" w:space="0"/>
            </w:tcBorders>
            <w:vAlign w:val="center"/>
          </w:tcPr>
          <w:p w14:paraId="76AACF60">
            <w:pPr>
              <w:keepLines/>
              <w:widowControl/>
              <w:spacing w:line="360" w:lineRule="exact"/>
              <w:ind w:firstLine="0" w:firstLineChars="0"/>
              <w:rPr>
                <w:rFonts w:eastAsiaTheme="minorEastAsia"/>
                <w:szCs w:val="21"/>
                <w:highlight w:val="none"/>
              </w:rPr>
            </w:pPr>
            <w:r>
              <w:rPr>
                <w:rFonts w:eastAsiaTheme="minorEastAsia"/>
                <w:szCs w:val="21"/>
                <w:highlight w:val="none"/>
              </w:rPr>
              <w:t>响应文件递交截止时间2日前</w:t>
            </w:r>
          </w:p>
        </w:tc>
      </w:tr>
      <w:tr w14:paraId="4331EB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669" w:type="pct"/>
            <w:tcBorders>
              <w:top w:val="single" w:color="auto" w:sz="4" w:space="0"/>
              <w:left w:val="single" w:color="auto" w:sz="4" w:space="0"/>
              <w:bottom w:val="single" w:color="auto" w:sz="4" w:space="0"/>
              <w:right w:val="single" w:color="auto" w:sz="4" w:space="0"/>
            </w:tcBorders>
            <w:vAlign w:val="center"/>
          </w:tcPr>
          <w:p w14:paraId="39E6EE92">
            <w:pPr>
              <w:keepLines/>
              <w:widowControl/>
              <w:adjustRightInd w:val="0"/>
              <w:snapToGrid w:val="0"/>
              <w:spacing w:line="360" w:lineRule="exact"/>
              <w:ind w:firstLine="0" w:firstLineChars="0"/>
              <w:jc w:val="center"/>
              <w:rPr>
                <w:rFonts w:eastAsiaTheme="minorEastAsia"/>
                <w:szCs w:val="21"/>
                <w:highlight w:val="none"/>
              </w:rPr>
            </w:pPr>
            <w:r>
              <w:rPr>
                <w:rFonts w:eastAsiaTheme="minorEastAsia"/>
                <w:szCs w:val="21"/>
                <w:highlight w:val="none"/>
              </w:rPr>
              <w:t>2.4</w:t>
            </w:r>
          </w:p>
        </w:tc>
        <w:tc>
          <w:tcPr>
            <w:tcW w:w="1252" w:type="pct"/>
            <w:tcBorders>
              <w:top w:val="single" w:color="auto" w:sz="4" w:space="0"/>
              <w:left w:val="single" w:color="auto" w:sz="4" w:space="0"/>
              <w:bottom w:val="single" w:color="auto" w:sz="4" w:space="0"/>
              <w:right w:val="single" w:color="auto" w:sz="4" w:space="0"/>
            </w:tcBorders>
            <w:vAlign w:val="center"/>
          </w:tcPr>
          <w:p w14:paraId="6B5B1920">
            <w:pPr>
              <w:keepLines/>
              <w:widowControl/>
              <w:adjustRightInd w:val="0"/>
              <w:snapToGrid w:val="0"/>
              <w:spacing w:line="360" w:lineRule="exact"/>
              <w:ind w:firstLine="0" w:firstLineChars="0"/>
              <w:rPr>
                <w:rFonts w:eastAsiaTheme="minorEastAsia"/>
                <w:szCs w:val="21"/>
                <w:highlight w:val="none"/>
              </w:rPr>
            </w:pPr>
            <w:r>
              <w:rPr>
                <w:rFonts w:eastAsiaTheme="minorEastAsia"/>
                <w:szCs w:val="21"/>
                <w:highlight w:val="none"/>
              </w:rPr>
              <w:t>采购控制价</w:t>
            </w:r>
          </w:p>
        </w:tc>
        <w:tc>
          <w:tcPr>
            <w:tcW w:w="3077" w:type="pct"/>
            <w:tcBorders>
              <w:top w:val="single" w:color="auto" w:sz="4" w:space="0"/>
              <w:left w:val="single" w:color="auto" w:sz="4" w:space="0"/>
              <w:bottom w:val="single" w:color="auto" w:sz="4" w:space="0"/>
              <w:right w:val="single" w:color="auto" w:sz="4" w:space="0"/>
            </w:tcBorders>
            <w:vAlign w:val="center"/>
          </w:tcPr>
          <w:p w14:paraId="20DFC269">
            <w:pPr>
              <w:keepLines/>
              <w:widowControl/>
              <w:adjustRightInd w:val="0"/>
              <w:snapToGrid w:val="0"/>
              <w:spacing w:line="360" w:lineRule="exact"/>
              <w:ind w:firstLine="0" w:firstLineChars="0"/>
              <w:rPr>
                <w:rFonts w:eastAsiaTheme="minorEastAsia"/>
                <w:szCs w:val="21"/>
                <w:highlight w:val="none"/>
              </w:rPr>
            </w:pPr>
            <w:r>
              <w:rPr>
                <w:rFonts w:eastAsiaTheme="minorEastAsia"/>
                <w:color w:val="000000" w:themeColor="text1"/>
                <w:szCs w:val="21"/>
                <w:highlight w:val="none"/>
                <w14:textFill>
                  <w14:solidFill>
                    <w14:schemeClr w14:val="tx1"/>
                  </w14:solidFill>
                </w14:textFill>
              </w:rPr>
              <w:t>详见竞争性谈判公告</w:t>
            </w:r>
          </w:p>
        </w:tc>
      </w:tr>
      <w:tr w14:paraId="130053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669" w:type="pct"/>
            <w:tcBorders>
              <w:top w:val="single" w:color="auto" w:sz="4" w:space="0"/>
              <w:left w:val="single" w:color="auto" w:sz="4" w:space="0"/>
              <w:bottom w:val="single" w:color="auto" w:sz="4" w:space="0"/>
              <w:right w:val="single" w:color="auto" w:sz="4" w:space="0"/>
            </w:tcBorders>
            <w:vAlign w:val="center"/>
          </w:tcPr>
          <w:p w14:paraId="6D1B8796">
            <w:pPr>
              <w:keepLines/>
              <w:widowControl/>
              <w:adjustRightInd w:val="0"/>
              <w:snapToGrid w:val="0"/>
              <w:spacing w:line="360" w:lineRule="exact"/>
              <w:ind w:firstLine="0" w:firstLineChars="0"/>
              <w:jc w:val="center"/>
              <w:rPr>
                <w:rFonts w:eastAsiaTheme="minorEastAsia"/>
                <w:szCs w:val="21"/>
                <w:highlight w:val="none"/>
              </w:rPr>
            </w:pPr>
            <w:r>
              <w:rPr>
                <w:rFonts w:eastAsiaTheme="minorEastAsia"/>
                <w:szCs w:val="21"/>
                <w:highlight w:val="none"/>
              </w:rPr>
              <w:t>3.1.1</w:t>
            </w:r>
          </w:p>
        </w:tc>
        <w:tc>
          <w:tcPr>
            <w:tcW w:w="1252" w:type="pct"/>
            <w:tcBorders>
              <w:top w:val="single" w:color="auto" w:sz="4" w:space="0"/>
              <w:left w:val="single" w:color="auto" w:sz="4" w:space="0"/>
              <w:bottom w:val="single" w:color="auto" w:sz="4" w:space="0"/>
              <w:right w:val="single" w:color="auto" w:sz="4" w:space="0"/>
            </w:tcBorders>
            <w:vAlign w:val="center"/>
          </w:tcPr>
          <w:p w14:paraId="542D774F">
            <w:pPr>
              <w:keepLines/>
              <w:widowControl/>
              <w:adjustRightInd w:val="0"/>
              <w:snapToGrid w:val="0"/>
              <w:spacing w:line="360" w:lineRule="exact"/>
              <w:ind w:firstLine="0" w:firstLineChars="0"/>
              <w:rPr>
                <w:rFonts w:eastAsiaTheme="minorEastAsia"/>
                <w:szCs w:val="21"/>
                <w:highlight w:val="none"/>
              </w:rPr>
            </w:pPr>
            <w:r>
              <w:rPr>
                <w:rFonts w:eastAsiaTheme="minorEastAsia"/>
                <w:szCs w:val="21"/>
                <w:highlight w:val="none"/>
              </w:rPr>
              <w:t>响应文件组成</w:t>
            </w:r>
          </w:p>
        </w:tc>
        <w:tc>
          <w:tcPr>
            <w:tcW w:w="3077" w:type="pct"/>
            <w:tcBorders>
              <w:top w:val="single" w:color="auto" w:sz="4" w:space="0"/>
              <w:left w:val="single" w:color="auto" w:sz="4" w:space="0"/>
              <w:bottom w:val="single" w:color="auto" w:sz="4" w:space="0"/>
              <w:right w:val="single" w:color="auto" w:sz="4" w:space="0"/>
            </w:tcBorders>
            <w:vAlign w:val="center"/>
          </w:tcPr>
          <w:p w14:paraId="6F46E83D">
            <w:pPr>
              <w:keepLines/>
              <w:widowControl/>
              <w:spacing w:line="360" w:lineRule="exact"/>
              <w:ind w:firstLine="0" w:firstLineChars="0"/>
              <w:rPr>
                <w:rFonts w:eastAsiaTheme="minorEastAsia"/>
                <w:szCs w:val="21"/>
                <w:highlight w:val="none"/>
              </w:rPr>
            </w:pPr>
            <w:r>
              <w:rPr>
                <w:rFonts w:eastAsiaTheme="minorEastAsia"/>
                <w:szCs w:val="21"/>
                <w:highlight w:val="none"/>
              </w:rPr>
              <w:t>1.目录及索引表（自行编制）</w:t>
            </w:r>
          </w:p>
          <w:p w14:paraId="0E486480">
            <w:pPr>
              <w:keepLines/>
              <w:widowControl/>
              <w:spacing w:line="360" w:lineRule="exact"/>
              <w:ind w:firstLine="0" w:firstLineChars="0"/>
              <w:rPr>
                <w:rFonts w:eastAsiaTheme="minorEastAsia"/>
                <w:szCs w:val="21"/>
                <w:highlight w:val="none"/>
              </w:rPr>
            </w:pPr>
            <w:r>
              <w:rPr>
                <w:rFonts w:eastAsiaTheme="minorEastAsia"/>
                <w:szCs w:val="21"/>
                <w:highlight w:val="none"/>
              </w:rPr>
              <w:t>2.响应函</w:t>
            </w:r>
          </w:p>
          <w:p w14:paraId="0A442B31">
            <w:pPr>
              <w:keepLines/>
              <w:widowControl/>
              <w:spacing w:line="360" w:lineRule="exact"/>
              <w:ind w:firstLine="0" w:firstLineChars="0"/>
              <w:rPr>
                <w:rFonts w:eastAsiaTheme="minorEastAsia"/>
                <w:szCs w:val="21"/>
                <w:highlight w:val="none"/>
              </w:rPr>
            </w:pPr>
            <w:r>
              <w:rPr>
                <w:rFonts w:hint="eastAsia" w:eastAsiaTheme="minorEastAsia"/>
                <w:szCs w:val="21"/>
                <w:highlight w:val="none"/>
              </w:rPr>
              <w:t>3.已标价工程量清单</w:t>
            </w:r>
          </w:p>
          <w:p w14:paraId="74399C1D">
            <w:pPr>
              <w:keepLines/>
              <w:widowControl/>
              <w:spacing w:line="360" w:lineRule="exact"/>
              <w:ind w:firstLine="0" w:firstLineChars="0"/>
              <w:rPr>
                <w:rFonts w:eastAsiaTheme="minorEastAsia"/>
                <w:szCs w:val="21"/>
                <w:highlight w:val="none"/>
              </w:rPr>
            </w:pPr>
            <w:r>
              <w:rPr>
                <w:rFonts w:hint="eastAsia" w:eastAsiaTheme="minorEastAsia"/>
                <w:szCs w:val="21"/>
                <w:highlight w:val="none"/>
              </w:rPr>
              <w:t>4</w:t>
            </w:r>
            <w:r>
              <w:rPr>
                <w:rFonts w:eastAsiaTheme="minorEastAsia"/>
                <w:szCs w:val="21"/>
                <w:highlight w:val="none"/>
              </w:rPr>
              <w:t>.法定代表人身份证明</w:t>
            </w:r>
          </w:p>
          <w:p w14:paraId="6126EFE8">
            <w:pPr>
              <w:keepLines/>
              <w:widowControl/>
              <w:spacing w:line="360" w:lineRule="exact"/>
              <w:ind w:firstLine="0" w:firstLineChars="0"/>
              <w:rPr>
                <w:rFonts w:eastAsiaTheme="minorEastAsia"/>
                <w:szCs w:val="21"/>
                <w:highlight w:val="none"/>
              </w:rPr>
            </w:pPr>
            <w:r>
              <w:rPr>
                <w:rFonts w:hint="eastAsia" w:eastAsiaTheme="minorEastAsia"/>
                <w:szCs w:val="21"/>
                <w:highlight w:val="none"/>
              </w:rPr>
              <w:t>5</w:t>
            </w:r>
            <w:r>
              <w:rPr>
                <w:rFonts w:eastAsiaTheme="minorEastAsia"/>
                <w:szCs w:val="21"/>
                <w:highlight w:val="none"/>
              </w:rPr>
              <w:t>.法定代表人授权委托书</w:t>
            </w:r>
          </w:p>
          <w:p w14:paraId="2DCE7C5C">
            <w:pPr>
              <w:keepLines/>
              <w:widowControl/>
              <w:spacing w:line="360" w:lineRule="exact"/>
              <w:ind w:firstLine="0" w:firstLineChars="0"/>
              <w:rPr>
                <w:rFonts w:eastAsiaTheme="minorEastAsia"/>
                <w:szCs w:val="21"/>
                <w:highlight w:val="none"/>
              </w:rPr>
            </w:pPr>
            <w:r>
              <w:rPr>
                <w:rFonts w:eastAsiaTheme="minorEastAsia"/>
                <w:szCs w:val="21"/>
                <w:highlight w:val="none"/>
              </w:rPr>
              <w:t>6.供应商承诺书</w:t>
            </w:r>
          </w:p>
          <w:p w14:paraId="6585B088">
            <w:pPr>
              <w:keepLines/>
              <w:widowControl/>
              <w:spacing w:line="360" w:lineRule="exact"/>
              <w:ind w:firstLine="0" w:firstLineChars="0"/>
              <w:rPr>
                <w:rFonts w:eastAsiaTheme="minorEastAsia"/>
                <w:szCs w:val="21"/>
                <w:highlight w:val="none"/>
              </w:rPr>
            </w:pPr>
            <w:r>
              <w:rPr>
                <w:rFonts w:eastAsiaTheme="minorEastAsia"/>
                <w:szCs w:val="21"/>
                <w:highlight w:val="none"/>
              </w:rPr>
              <w:t>7.供应商基本情况表</w:t>
            </w:r>
          </w:p>
          <w:p w14:paraId="54D24CD0">
            <w:pPr>
              <w:keepLines/>
              <w:widowControl/>
              <w:spacing w:line="360" w:lineRule="exact"/>
              <w:ind w:firstLine="0" w:firstLineChars="0"/>
              <w:rPr>
                <w:rFonts w:eastAsiaTheme="minorEastAsia"/>
                <w:szCs w:val="21"/>
                <w:highlight w:val="none"/>
              </w:rPr>
            </w:pPr>
            <w:r>
              <w:rPr>
                <w:rFonts w:eastAsiaTheme="minorEastAsia"/>
                <w:szCs w:val="21"/>
                <w:highlight w:val="none"/>
              </w:rPr>
              <w:t>8.项目负责人简历表</w:t>
            </w:r>
          </w:p>
          <w:p w14:paraId="22D9A79F">
            <w:pPr>
              <w:keepLines/>
              <w:widowControl/>
              <w:spacing w:line="360" w:lineRule="exact"/>
              <w:ind w:firstLine="0" w:firstLineChars="0"/>
              <w:rPr>
                <w:rFonts w:eastAsiaTheme="minorEastAsia"/>
                <w:szCs w:val="21"/>
                <w:highlight w:val="none"/>
              </w:rPr>
            </w:pPr>
            <w:r>
              <w:rPr>
                <w:rFonts w:hint="eastAsia" w:eastAsiaTheme="minorEastAsia"/>
                <w:szCs w:val="21"/>
                <w:highlight w:val="none"/>
              </w:rPr>
              <w:t>9</w:t>
            </w:r>
            <w:r>
              <w:rPr>
                <w:rFonts w:eastAsiaTheme="minorEastAsia"/>
                <w:szCs w:val="21"/>
                <w:highlight w:val="none"/>
              </w:rPr>
              <w:t>.其它材料</w:t>
            </w:r>
          </w:p>
        </w:tc>
      </w:tr>
      <w:tr w14:paraId="3C7A87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669" w:type="pct"/>
            <w:tcBorders>
              <w:top w:val="single" w:color="auto" w:sz="4" w:space="0"/>
              <w:left w:val="single" w:color="auto" w:sz="4" w:space="0"/>
              <w:bottom w:val="single" w:color="auto" w:sz="4" w:space="0"/>
              <w:right w:val="single" w:color="auto" w:sz="4" w:space="0"/>
            </w:tcBorders>
            <w:vAlign w:val="center"/>
          </w:tcPr>
          <w:p w14:paraId="0E8AA6AC">
            <w:pPr>
              <w:keepLines/>
              <w:widowControl/>
              <w:adjustRightInd w:val="0"/>
              <w:snapToGrid w:val="0"/>
              <w:spacing w:line="360" w:lineRule="exact"/>
              <w:ind w:firstLine="0" w:firstLineChars="0"/>
              <w:jc w:val="center"/>
              <w:rPr>
                <w:rFonts w:eastAsiaTheme="minorEastAsia"/>
                <w:szCs w:val="21"/>
                <w:highlight w:val="none"/>
              </w:rPr>
            </w:pPr>
            <w:r>
              <w:rPr>
                <w:rFonts w:eastAsiaTheme="minorEastAsia"/>
                <w:szCs w:val="21"/>
                <w:highlight w:val="none"/>
              </w:rPr>
              <w:t>3.2.1</w:t>
            </w:r>
          </w:p>
        </w:tc>
        <w:tc>
          <w:tcPr>
            <w:tcW w:w="1252" w:type="pct"/>
            <w:tcBorders>
              <w:top w:val="single" w:color="auto" w:sz="4" w:space="0"/>
              <w:left w:val="single" w:color="auto" w:sz="4" w:space="0"/>
              <w:bottom w:val="single" w:color="auto" w:sz="4" w:space="0"/>
              <w:right w:val="single" w:color="auto" w:sz="4" w:space="0"/>
            </w:tcBorders>
            <w:vAlign w:val="center"/>
          </w:tcPr>
          <w:p w14:paraId="7828DB70">
            <w:pPr>
              <w:keepLines/>
              <w:widowControl/>
              <w:adjustRightInd w:val="0"/>
              <w:snapToGrid w:val="0"/>
              <w:spacing w:line="360" w:lineRule="exact"/>
              <w:ind w:firstLine="0" w:firstLineChars="0"/>
              <w:rPr>
                <w:rFonts w:eastAsiaTheme="minorEastAsia"/>
                <w:szCs w:val="21"/>
                <w:highlight w:val="none"/>
              </w:rPr>
            </w:pPr>
            <w:r>
              <w:rPr>
                <w:rFonts w:eastAsiaTheme="minorEastAsia"/>
                <w:szCs w:val="21"/>
                <w:highlight w:val="none"/>
              </w:rPr>
              <w:t>合同价格形式</w:t>
            </w:r>
          </w:p>
        </w:tc>
        <w:tc>
          <w:tcPr>
            <w:tcW w:w="3077" w:type="pct"/>
            <w:tcBorders>
              <w:top w:val="single" w:color="auto" w:sz="4" w:space="0"/>
              <w:left w:val="single" w:color="auto" w:sz="4" w:space="0"/>
              <w:bottom w:val="single" w:color="auto" w:sz="4" w:space="0"/>
              <w:right w:val="single" w:color="auto" w:sz="4" w:space="0"/>
            </w:tcBorders>
            <w:vAlign w:val="center"/>
          </w:tcPr>
          <w:p w14:paraId="5277586A">
            <w:pPr>
              <w:keepLines/>
              <w:widowControl/>
              <w:adjustRightInd w:val="0"/>
              <w:snapToGrid w:val="0"/>
              <w:spacing w:line="360" w:lineRule="exact"/>
              <w:ind w:firstLine="0" w:firstLineChars="0"/>
              <w:rPr>
                <w:rFonts w:eastAsiaTheme="minorEastAsia"/>
                <w:szCs w:val="21"/>
                <w:highlight w:val="none"/>
              </w:rPr>
            </w:pPr>
            <w:r>
              <w:rPr>
                <w:rFonts w:eastAsiaTheme="minorEastAsia"/>
                <w:szCs w:val="21"/>
                <w:highlight w:val="none"/>
              </w:rPr>
              <w:sym w:font="Wingdings 2" w:char="00A3"/>
            </w:r>
            <w:r>
              <w:rPr>
                <w:rFonts w:eastAsiaTheme="minorEastAsia"/>
                <w:szCs w:val="21"/>
                <w:highlight w:val="none"/>
              </w:rPr>
              <w:t>单价合同</w:t>
            </w:r>
          </w:p>
          <w:p w14:paraId="4787B6BF">
            <w:pPr>
              <w:keepLines/>
              <w:widowControl/>
              <w:adjustRightInd w:val="0"/>
              <w:snapToGrid w:val="0"/>
              <w:spacing w:line="360" w:lineRule="exact"/>
              <w:ind w:firstLine="0" w:firstLineChars="0"/>
              <w:rPr>
                <w:rFonts w:eastAsiaTheme="minorEastAsia"/>
                <w:szCs w:val="21"/>
                <w:highlight w:val="none"/>
              </w:rPr>
            </w:pPr>
            <w:r>
              <w:rPr>
                <w:rFonts w:eastAsiaTheme="minorEastAsia"/>
                <w:szCs w:val="21"/>
                <w:highlight w:val="none"/>
              </w:rPr>
              <w:sym w:font="Wingdings 2" w:char="0052"/>
            </w:r>
            <w:r>
              <w:rPr>
                <w:rFonts w:eastAsiaTheme="minorEastAsia"/>
                <w:szCs w:val="21"/>
                <w:highlight w:val="none"/>
              </w:rPr>
              <w:t>总价合同</w:t>
            </w:r>
          </w:p>
        </w:tc>
      </w:tr>
      <w:tr w14:paraId="78B5A4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669" w:type="pct"/>
            <w:tcBorders>
              <w:top w:val="single" w:color="auto" w:sz="4" w:space="0"/>
              <w:left w:val="single" w:color="auto" w:sz="4" w:space="0"/>
              <w:bottom w:val="single" w:color="auto" w:sz="4" w:space="0"/>
              <w:right w:val="single" w:color="auto" w:sz="4" w:space="0"/>
            </w:tcBorders>
            <w:vAlign w:val="center"/>
          </w:tcPr>
          <w:p w14:paraId="43BB1841">
            <w:pPr>
              <w:keepLines/>
              <w:widowControl/>
              <w:adjustRightInd w:val="0"/>
              <w:snapToGrid w:val="0"/>
              <w:spacing w:line="360" w:lineRule="exact"/>
              <w:ind w:firstLine="0" w:firstLineChars="0"/>
              <w:jc w:val="center"/>
              <w:rPr>
                <w:rFonts w:eastAsiaTheme="minorEastAsia"/>
                <w:szCs w:val="21"/>
                <w:highlight w:val="none"/>
              </w:rPr>
            </w:pPr>
            <w:r>
              <w:rPr>
                <w:rFonts w:eastAsiaTheme="minorEastAsia"/>
                <w:szCs w:val="21"/>
                <w:highlight w:val="none"/>
              </w:rPr>
              <w:t>3.3.1</w:t>
            </w:r>
          </w:p>
        </w:tc>
        <w:tc>
          <w:tcPr>
            <w:tcW w:w="1252" w:type="pct"/>
            <w:tcBorders>
              <w:top w:val="single" w:color="auto" w:sz="4" w:space="0"/>
              <w:left w:val="single" w:color="auto" w:sz="4" w:space="0"/>
              <w:bottom w:val="single" w:color="auto" w:sz="4" w:space="0"/>
              <w:right w:val="single" w:color="auto" w:sz="4" w:space="0"/>
            </w:tcBorders>
            <w:vAlign w:val="center"/>
          </w:tcPr>
          <w:p w14:paraId="7B9E4FD3">
            <w:pPr>
              <w:keepLines/>
              <w:widowControl/>
              <w:adjustRightInd w:val="0"/>
              <w:snapToGrid w:val="0"/>
              <w:spacing w:line="360" w:lineRule="exact"/>
              <w:ind w:firstLine="0" w:firstLineChars="0"/>
              <w:rPr>
                <w:rFonts w:eastAsiaTheme="minorEastAsia"/>
                <w:szCs w:val="21"/>
                <w:highlight w:val="none"/>
              </w:rPr>
            </w:pPr>
            <w:r>
              <w:rPr>
                <w:rFonts w:eastAsiaTheme="minorEastAsia"/>
                <w:szCs w:val="21"/>
                <w:highlight w:val="none"/>
              </w:rPr>
              <w:t>谈判有效期</w:t>
            </w:r>
          </w:p>
        </w:tc>
        <w:tc>
          <w:tcPr>
            <w:tcW w:w="3077" w:type="pct"/>
            <w:tcBorders>
              <w:top w:val="single" w:color="auto" w:sz="4" w:space="0"/>
              <w:left w:val="single" w:color="auto" w:sz="4" w:space="0"/>
              <w:bottom w:val="single" w:color="auto" w:sz="4" w:space="0"/>
              <w:right w:val="single" w:color="auto" w:sz="4" w:space="0"/>
            </w:tcBorders>
            <w:vAlign w:val="center"/>
          </w:tcPr>
          <w:p w14:paraId="0369462B">
            <w:pPr>
              <w:keepLines/>
              <w:widowControl/>
              <w:adjustRightInd w:val="0"/>
              <w:snapToGrid w:val="0"/>
              <w:spacing w:line="360" w:lineRule="exact"/>
              <w:ind w:firstLine="0" w:firstLineChars="0"/>
              <w:rPr>
                <w:rFonts w:eastAsiaTheme="minorEastAsia"/>
                <w:szCs w:val="21"/>
                <w:highlight w:val="none"/>
              </w:rPr>
            </w:pPr>
            <w:r>
              <w:rPr>
                <w:rFonts w:eastAsiaTheme="minorEastAsia"/>
                <w:szCs w:val="21"/>
                <w:highlight w:val="none"/>
              </w:rPr>
              <w:t>响应文件递交截止日后</w:t>
            </w:r>
            <w:r>
              <w:rPr>
                <w:rFonts w:eastAsiaTheme="minorEastAsia"/>
                <w:szCs w:val="21"/>
                <w:highlight w:val="none"/>
                <w:u w:val="single"/>
              </w:rPr>
              <w:t xml:space="preserve"> 60 </w:t>
            </w:r>
            <w:r>
              <w:rPr>
                <w:rFonts w:eastAsiaTheme="minorEastAsia"/>
                <w:szCs w:val="21"/>
                <w:highlight w:val="none"/>
              </w:rPr>
              <w:t>日历天</w:t>
            </w:r>
          </w:p>
        </w:tc>
      </w:tr>
      <w:tr w14:paraId="4DACDF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669" w:type="pct"/>
            <w:tcBorders>
              <w:top w:val="single" w:color="auto" w:sz="4" w:space="0"/>
              <w:left w:val="single" w:color="auto" w:sz="4" w:space="0"/>
              <w:bottom w:val="single" w:color="auto" w:sz="4" w:space="0"/>
              <w:right w:val="single" w:color="auto" w:sz="4" w:space="0"/>
            </w:tcBorders>
            <w:vAlign w:val="center"/>
          </w:tcPr>
          <w:p w14:paraId="6B73D9BF">
            <w:pPr>
              <w:keepLines/>
              <w:widowControl/>
              <w:adjustRightInd w:val="0"/>
              <w:snapToGrid w:val="0"/>
              <w:spacing w:line="360" w:lineRule="exact"/>
              <w:ind w:firstLine="0" w:firstLineChars="0"/>
              <w:jc w:val="center"/>
              <w:rPr>
                <w:rFonts w:eastAsiaTheme="minorEastAsia"/>
                <w:szCs w:val="21"/>
                <w:highlight w:val="none"/>
              </w:rPr>
            </w:pPr>
            <w:r>
              <w:rPr>
                <w:rFonts w:eastAsiaTheme="minorEastAsia"/>
                <w:color w:val="000000" w:themeColor="text1"/>
                <w:szCs w:val="21"/>
                <w:highlight w:val="none"/>
                <w14:textFill>
                  <w14:solidFill>
                    <w14:schemeClr w14:val="tx1"/>
                  </w14:solidFill>
                </w14:textFill>
              </w:rPr>
              <w:t>3.4.1</w:t>
            </w:r>
          </w:p>
        </w:tc>
        <w:tc>
          <w:tcPr>
            <w:tcW w:w="1252" w:type="pct"/>
            <w:tcBorders>
              <w:top w:val="single" w:color="auto" w:sz="4" w:space="0"/>
              <w:left w:val="single" w:color="auto" w:sz="4" w:space="0"/>
              <w:bottom w:val="single" w:color="auto" w:sz="4" w:space="0"/>
              <w:right w:val="single" w:color="auto" w:sz="4" w:space="0"/>
            </w:tcBorders>
            <w:vAlign w:val="center"/>
          </w:tcPr>
          <w:p w14:paraId="56757749">
            <w:pPr>
              <w:keepLines/>
              <w:widowControl/>
              <w:adjustRightInd w:val="0"/>
              <w:snapToGrid w:val="0"/>
              <w:spacing w:line="360" w:lineRule="exact"/>
              <w:ind w:firstLine="0" w:firstLineChars="0"/>
              <w:rPr>
                <w:rFonts w:eastAsiaTheme="minorEastAsia"/>
                <w:szCs w:val="21"/>
                <w:highlight w:val="none"/>
              </w:rPr>
            </w:pPr>
            <w:r>
              <w:rPr>
                <w:rFonts w:eastAsiaTheme="minorEastAsia"/>
                <w:color w:val="000000" w:themeColor="text1"/>
                <w:szCs w:val="21"/>
                <w:highlight w:val="none"/>
                <w14:textFill>
                  <w14:solidFill>
                    <w14:schemeClr w14:val="tx1"/>
                  </w14:solidFill>
                </w14:textFill>
              </w:rPr>
              <w:t>谈判保证金</w:t>
            </w:r>
          </w:p>
        </w:tc>
        <w:tc>
          <w:tcPr>
            <w:tcW w:w="3077" w:type="pct"/>
            <w:tcBorders>
              <w:top w:val="single" w:color="auto" w:sz="4" w:space="0"/>
              <w:left w:val="single" w:color="auto" w:sz="4" w:space="0"/>
              <w:bottom w:val="single" w:color="auto" w:sz="4" w:space="0"/>
              <w:right w:val="single" w:color="auto" w:sz="4" w:space="0"/>
            </w:tcBorders>
            <w:vAlign w:val="center"/>
          </w:tcPr>
          <w:p w14:paraId="736E11F2">
            <w:pPr>
              <w:keepLines/>
              <w:widowControl/>
              <w:numPr>
                <w:ilvl w:val="0"/>
                <w:numId w:val="3"/>
              </w:numPr>
              <w:snapToGrid w:val="0"/>
              <w:spacing w:line="360" w:lineRule="exact"/>
              <w:ind w:firstLine="0" w:firstLineChars="0"/>
              <w:rPr>
                <w:color w:val="000000"/>
                <w:szCs w:val="21"/>
                <w:highlight w:val="none"/>
              </w:rPr>
            </w:pPr>
            <w:r>
              <w:rPr>
                <w:color w:val="000000"/>
                <w:szCs w:val="21"/>
                <w:highlight w:val="none"/>
              </w:rPr>
              <w:t>谈判保证金的</w:t>
            </w:r>
            <w:r>
              <w:rPr>
                <w:rFonts w:hint="eastAsia"/>
                <w:color w:val="000000"/>
                <w:szCs w:val="21"/>
                <w:highlight w:val="none"/>
              </w:rPr>
              <w:t>形式：转账、电汇、网银或银行保函形式</w:t>
            </w:r>
          </w:p>
          <w:p w14:paraId="273562A5">
            <w:pPr>
              <w:keepLines/>
              <w:widowControl/>
              <w:numPr>
                <w:ilvl w:val="0"/>
                <w:numId w:val="3"/>
              </w:numPr>
              <w:snapToGrid w:val="0"/>
              <w:spacing w:line="360" w:lineRule="exact"/>
              <w:ind w:firstLine="0" w:firstLineChars="0"/>
              <w:rPr>
                <w:b/>
                <w:bCs/>
                <w:szCs w:val="21"/>
                <w:highlight w:val="none"/>
              </w:rPr>
            </w:pPr>
            <w:r>
              <w:rPr>
                <w:b/>
                <w:bCs/>
                <w:color w:val="000000"/>
                <w:szCs w:val="21"/>
                <w:highlight w:val="none"/>
              </w:rPr>
              <w:t>谈判保证金的金额：</w:t>
            </w:r>
            <w:r>
              <w:rPr>
                <w:b/>
                <w:bCs/>
                <w:szCs w:val="21"/>
                <w:highlight w:val="none"/>
              </w:rPr>
              <w:t>人民币</w:t>
            </w:r>
            <w:r>
              <w:rPr>
                <w:rFonts w:hint="eastAsia"/>
                <w:b/>
                <w:bCs/>
                <w:szCs w:val="21"/>
                <w:highlight w:val="none"/>
                <w:lang w:val="en-US" w:eastAsia="zh-CN"/>
              </w:rPr>
              <w:t>6000</w:t>
            </w:r>
            <w:r>
              <w:rPr>
                <w:b/>
                <w:bCs/>
                <w:szCs w:val="21"/>
                <w:highlight w:val="none"/>
              </w:rPr>
              <w:t>元</w:t>
            </w:r>
            <w:r>
              <w:rPr>
                <w:rFonts w:hint="eastAsia"/>
                <w:b/>
                <w:bCs/>
                <w:szCs w:val="21"/>
                <w:highlight w:val="none"/>
              </w:rPr>
              <w:t>（</w:t>
            </w:r>
            <w:r>
              <w:rPr>
                <w:b/>
                <w:bCs/>
                <w:szCs w:val="21"/>
                <w:highlight w:val="none"/>
              </w:rPr>
              <w:t>大写：人民币</w:t>
            </w:r>
            <w:r>
              <w:rPr>
                <w:rFonts w:hint="eastAsia"/>
                <w:b/>
                <w:bCs/>
                <w:szCs w:val="21"/>
                <w:highlight w:val="none"/>
                <w:lang w:val="en-US" w:eastAsia="zh-CN"/>
              </w:rPr>
              <w:t>陆仟元整</w:t>
            </w:r>
            <w:r>
              <w:rPr>
                <w:rFonts w:hint="eastAsia"/>
                <w:b/>
                <w:bCs/>
                <w:szCs w:val="21"/>
                <w:highlight w:val="none"/>
              </w:rPr>
              <w:t>）</w:t>
            </w:r>
          </w:p>
          <w:p w14:paraId="5B052BE3">
            <w:pPr>
              <w:keepLines/>
              <w:widowControl/>
              <w:snapToGrid w:val="0"/>
              <w:spacing w:line="360" w:lineRule="exact"/>
              <w:ind w:firstLine="0" w:firstLineChars="0"/>
              <w:rPr>
                <w:color w:val="000000"/>
                <w:szCs w:val="21"/>
                <w:highlight w:val="none"/>
              </w:rPr>
            </w:pPr>
            <w:r>
              <w:rPr>
                <w:color w:val="000000"/>
                <w:szCs w:val="21"/>
                <w:highlight w:val="none"/>
              </w:rPr>
              <w:t>三、收款人信息：</w:t>
            </w:r>
          </w:p>
          <w:p w14:paraId="359BF61E">
            <w:pPr>
              <w:keepLines/>
              <w:widowControl/>
              <w:snapToGrid w:val="0"/>
              <w:spacing w:line="360" w:lineRule="exact"/>
              <w:ind w:firstLine="0" w:firstLineChars="0"/>
              <w:rPr>
                <w:color w:val="000000"/>
                <w:szCs w:val="21"/>
                <w:highlight w:val="none"/>
              </w:rPr>
            </w:pPr>
            <w:r>
              <w:rPr>
                <w:color w:val="000000"/>
                <w:szCs w:val="21"/>
                <w:highlight w:val="none"/>
              </w:rPr>
              <w:t>户名：</w:t>
            </w:r>
            <w:r>
              <w:rPr>
                <w:rFonts w:hint="eastAsia"/>
                <w:color w:val="000000"/>
                <w:szCs w:val="21"/>
                <w:highlight w:val="none"/>
                <w:u w:val="single"/>
              </w:rPr>
              <w:t>连云港徐圩港口安全环保科技有限公司</w:t>
            </w:r>
            <w:r>
              <w:rPr>
                <w:color w:val="000000"/>
                <w:szCs w:val="21"/>
                <w:highlight w:val="none"/>
              </w:rPr>
              <w:t xml:space="preserve">  </w:t>
            </w:r>
          </w:p>
          <w:p w14:paraId="7063C60D">
            <w:pPr>
              <w:keepLines/>
              <w:widowControl/>
              <w:snapToGrid w:val="0"/>
              <w:spacing w:line="360" w:lineRule="exact"/>
              <w:ind w:firstLine="0" w:firstLineChars="0"/>
              <w:rPr>
                <w:color w:val="000000"/>
                <w:szCs w:val="21"/>
                <w:highlight w:val="none"/>
              </w:rPr>
            </w:pPr>
            <w:r>
              <w:rPr>
                <w:color w:val="000000"/>
                <w:szCs w:val="21"/>
                <w:highlight w:val="none"/>
              </w:rPr>
              <w:t>开户银行：</w:t>
            </w:r>
            <w:r>
              <w:rPr>
                <w:color w:val="000000"/>
                <w:szCs w:val="21"/>
                <w:highlight w:val="none"/>
                <w:u w:val="single"/>
              </w:rPr>
              <w:t>中国工商银行股份有限公司连云港徐圩支行</w:t>
            </w:r>
          </w:p>
          <w:p w14:paraId="3B448385">
            <w:pPr>
              <w:keepLines/>
              <w:widowControl/>
              <w:snapToGrid w:val="0"/>
              <w:spacing w:line="360" w:lineRule="exact"/>
              <w:ind w:firstLine="0" w:firstLineChars="0"/>
              <w:rPr>
                <w:color w:val="000000"/>
                <w:szCs w:val="21"/>
                <w:highlight w:val="none"/>
                <w:u w:val="single"/>
              </w:rPr>
            </w:pPr>
            <w:r>
              <w:rPr>
                <w:color w:val="000000"/>
                <w:szCs w:val="21"/>
                <w:highlight w:val="none"/>
              </w:rPr>
              <w:t>账号：</w:t>
            </w:r>
            <w:r>
              <w:rPr>
                <w:color w:val="000000"/>
                <w:szCs w:val="21"/>
                <w:highlight w:val="none"/>
                <w:u w:val="single"/>
              </w:rPr>
              <w:t>1107010009200166891</w:t>
            </w:r>
          </w:p>
          <w:p w14:paraId="7EA65247">
            <w:pPr>
              <w:keepLines/>
              <w:widowControl/>
              <w:snapToGrid w:val="0"/>
              <w:spacing w:line="360" w:lineRule="exact"/>
              <w:ind w:firstLine="0" w:firstLineChars="0"/>
              <w:rPr>
                <w:color w:val="000000"/>
                <w:szCs w:val="21"/>
                <w:highlight w:val="none"/>
              </w:rPr>
            </w:pPr>
            <w:r>
              <w:rPr>
                <w:rFonts w:hint="eastAsia"/>
                <w:color w:val="000000"/>
                <w:szCs w:val="21"/>
                <w:highlight w:val="none"/>
              </w:rPr>
              <w:t>谈判</w:t>
            </w:r>
            <w:r>
              <w:rPr>
                <w:color w:val="000000"/>
                <w:szCs w:val="21"/>
                <w:highlight w:val="none"/>
              </w:rPr>
              <w:t>保证金缴纳时应注明：</w:t>
            </w:r>
            <w:r>
              <w:rPr>
                <w:rFonts w:hint="eastAsia"/>
                <w:color w:val="000000"/>
                <w:szCs w:val="21"/>
                <w:highlight w:val="none"/>
                <w:u w:val="single"/>
                <w:lang w:eastAsia="zh-CN"/>
              </w:rPr>
              <w:t>2026-2028年综保区冷链保险服务采购项目</w:t>
            </w:r>
            <w:r>
              <w:rPr>
                <w:rFonts w:hint="eastAsia"/>
                <w:color w:val="000000"/>
                <w:szCs w:val="21"/>
                <w:highlight w:val="none"/>
                <w:u w:val="single"/>
              </w:rPr>
              <w:t>谈判</w:t>
            </w:r>
            <w:r>
              <w:rPr>
                <w:color w:val="000000"/>
                <w:szCs w:val="21"/>
                <w:highlight w:val="none"/>
                <w:u w:val="single"/>
              </w:rPr>
              <w:t>保证金</w:t>
            </w:r>
            <w:r>
              <w:rPr>
                <w:color w:val="000000"/>
                <w:szCs w:val="21"/>
                <w:highlight w:val="none"/>
              </w:rPr>
              <w:t>（如字数过多可简写项目名称关键字）</w:t>
            </w:r>
          </w:p>
          <w:p w14:paraId="70FA6CBC">
            <w:pPr>
              <w:keepLines/>
              <w:widowControl/>
              <w:snapToGrid w:val="0"/>
              <w:spacing w:line="360" w:lineRule="exact"/>
              <w:ind w:firstLine="0" w:firstLineChars="0"/>
              <w:rPr>
                <w:color w:val="000000"/>
                <w:szCs w:val="21"/>
                <w:highlight w:val="none"/>
              </w:rPr>
            </w:pPr>
            <w:r>
              <w:rPr>
                <w:color w:val="000000"/>
                <w:szCs w:val="21"/>
                <w:highlight w:val="none"/>
              </w:rPr>
              <w:t>注意事项：</w:t>
            </w:r>
          </w:p>
          <w:p w14:paraId="522A61D4">
            <w:pPr>
              <w:keepLines/>
              <w:widowControl/>
              <w:snapToGrid w:val="0"/>
              <w:spacing w:line="360" w:lineRule="exact"/>
              <w:ind w:firstLine="0" w:firstLineChars="0"/>
              <w:rPr>
                <w:highlight w:val="none"/>
              </w:rPr>
            </w:pPr>
            <w:r>
              <w:rPr>
                <w:highlight w:val="none"/>
              </w:rPr>
              <w:t>1.采用转账、电汇、网银等形式缴纳谈判保证金的，谈判保证金应以供应商的存款账户缴纳，从他人账户缴纳的谈判保证金无效；采用银行保函形式缴纳谈判保证金的，谈判保证金应由供应商的存款账户开户银行出具，否则无效。谈判保证金必须在响应文件递交截止时间前一次性足额到账，超过谈判文件规定和要求递交谈判保证金的作重大偏差处理；</w:t>
            </w:r>
          </w:p>
          <w:p w14:paraId="77EA32E7">
            <w:pPr>
              <w:keepLines/>
              <w:widowControl/>
              <w:snapToGrid w:val="0"/>
              <w:spacing w:line="360" w:lineRule="exact"/>
              <w:ind w:firstLine="0" w:firstLineChars="0"/>
              <w:rPr>
                <w:color w:val="000000"/>
                <w:szCs w:val="21"/>
                <w:highlight w:val="none"/>
              </w:rPr>
            </w:pPr>
            <w:r>
              <w:rPr>
                <w:color w:val="000000"/>
                <w:szCs w:val="21"/>
                <w:highlight w:val="none"/>
              </w:rPr>
              <w:t>2.谈判保证金的付方开户许可证（或基本</w:t>
            </w:r>
            <w:r>
              <w:rPr>
                <w:rFonts w:hint="eastAsia"/>
                <w:color w:val="000000"/>
                <w:szCs w:val="21"/>
                <w:highlight w:val="none"/>
              </w:rPr>
              <w:t>账</w:t>
            </w:r>
            <w:r>
              <w:rPr>
                <w:color w:val="000000"/>
                <w:szCs w:val="21"/>
                <w:highlight w:val="none"/>
              </w:rPr>
              <w:t>户信息）中注明的开户行名称必须准确无误，如实际名称与开户许可证（或基本</w:t>
            </w:r>
            <w:r>
              <w:rPr>
                <w:rFonts w:hint="eastAsia"/>
                <w:color w:val="000000"/>
                <w:szCs w:val="21"/>
                <w:highlight w:val="none"/>
              </w:rPr>
              <w:t>账</w:t>
            </w:r>
            <w:r>
              <w:rPr>
                <w:color w:val="000000"/>
                <w:szCs w:val="21"/>
                <w:highlight w:val="none"/>
              </w:rPr>
              <w:t>户信息）中注明的名称不一致请提前说明，否则采购人无法准确退还谈判保证金。如有疑问请致电</w:t>
            </w:r>
            <w:r>
              <w:rPr>
                <w:rFonts w:hint="eastAsia"/>
                <w:color w:val="000000"/>
                <w:szCs w:val="21"/>
                <w:highlight w:val="none"/>
              </w:rPr>
              <w:t>1</w:t>
            </w:r>
            <w:r>
              <w:rPr>
                <w:rFonts w:hint="eastAsia"/>
                <w:color w:val="000000"/>
                <w:szCs w:val="21"/>
                <w:highlight w:val="none"/>
                <w:lang w:val="en-US" w:eastAsia="zh-CN"/>
              </w:rPr>
              <w:t>8036653560</w:t>
            </w:r>
            <w:r>
              <w:rPr>
                <w:color w:val="000000"/>
                <w:szCs w:val="21"/>
                <w:highlight w:val="none"/>
              </w:rPr>
              <w:t>联系确认，联系人：</w:t>
            </w:r>
            <w:r>
              <w:rPr>
                <w:rFonts w:hint="eastAsia"/>
                <w:color w:val="000000"/>
                <w:szCs w:val="21"/>
                <w:highlight w:val="none"/>
                <w:lang w:val="en-US" w:eastAsia="zh-CN"/>
              </w:rPr>
              <w:t>王工</w:t>
            </w:r>
            <w:r>
              <w:rPr>
                <w:color w:val="000000"/>
                <w:szCs w:val="21"/>
                <w:highlight w:val="none"/>
              </w:rPr>
              <w:t>。</w:t>
            </w:r>
          </w:p>
          <w:p w14:paraId="495208D9">
            <w:pPr>
              <w:keepLines/>
              <w:widowControl/>
              <w:snapToGrid w:val="0"/>
              <w:spacing w:line="360" w:lineRule="exact"/>
              <w:ind w:firstLine="0" w:firstLineChars="0"/>
              <w:rPr>
                <w:color w:val="000000"/>
                <w:szCs w:val="21"/>
                <w:highlight w:val="none"/>
              </w:rPr>
            </w:pPr>
            <w:r>
              <w:rPr>
                <w:color w:val="000000"/>
                <w:szCs w:val="21"/>
                <w:highlight w:val="none"/>
              </w:rPr>
              <w:t>3.供应商应充分考虑保证金缴纳时间段内的银行处理业务时间以及节假日等客观因素，确保在工作日及时汇出并保证按时到账。</w:t>
            </w:r>
          </w:p>
          <w:p w14:paraId="6B2A37D5">
            <w:pPr>
              <w:pStyle w:val="60"/>
              <w:spacing w:line="360" w:lineRule="exact"/>
              <w:ind w:firstLine="0" w:firstLineChars="0"/>
              <w:rPr>
                <w:highlight w:val="none"/>
              </w:rPr>
            </w:pPr>
            <w:r>
              <w:rPr>
                <w:highlight w:val="none"/>
              </w:rPr>
              <w:t>4.</w:t>
            </w:r>
            <w:r>
              <w:rPr>
                <w:b/>
                <w:bCs/>
                <w:highlight w:val="none"/>
              </w:rPr>
              <w:t>如采用银行保函形式谈判保证金，须确保保函原件在递交响应文件截止时间前一工作日（含）前送达（邮寄）至采购人处，并承诺真实性，若发现弄虚作假，将取消成交资格并纳入徐圩新区公共资源交易“黑名单”管理。</w:t>
            </w:r>
          </w:p>
        </w:tc>
      </w:tr>
      <w:tr w14:paraId="322691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669" w:type="pct"/>
            <w:tcBorders>
              <w:top w:val="single" w:color="auto" w:sz="4" w:space="0"/>
              <w:left w:val="single" w:color="auto" w:sz="4" w:space="0"/>
              <w:bottom w:val="single" w:color="auto" w:sz="4" w:space="0"/>
              <w:right w:val="single" w:color="auto" w:sz="4" w:space="0"/>
            </w:tcBorders>
            <w:vAlign w:val="center"/>
          </w:tcPr>
          <w:p w14:paraId="6E3BE43D">
            <w:pPr>
              <w:keepLines/>
              <w:widowControl/>
              <w:adjustRightInd w:val="0"/>
              <w:snapToGrid w:val="0"/>
              <w:spacing w:line="360" w:lineRule="exact"/>
              <w:ind w:firstLine="0" w:firstLineChars="0"/>
              <w:jc w:val="center"/>
              <w:rPr>
                <w:rFonts w:eastAsiaTheme="minorEastAsia"/>
                <w:szCs w:val="21"/>
                <w:highlight w:val="none"/>
              </w:rPr>
            </w:pPr>
            <w:r>
              <w:rPr>
                <w:rFonts w:eastAsiaTheme="minorEastAsia"/>
                <w:color w:val="000000" w:themeColor="text1"/>
                <w:szCs w:val="21"/>
                <w:highlight w:val="none"/>
                <w14:textFill>
                  <w14:solidFill>
                    <w14:schemeClr w14:val="tx1"/>
                  </w14:solidFill>
                </w14:textFill>
              </w:rPr>
              <w:t>3.4.4</w:t>
            </w:r>
          </w:p>
        </w:tc>
        <w:tc>
          <w:tcPr>
            <w:tcW w:w="1252" w:type="pct"/>
            <w:tcBorders>
              <w:top w:val="single" w:color="auto" w:sz="4" w:space="0"/>
              <w:left w:val="single" w:color="auto" w:sz="4" w:space="0"/>
              <w:bottom w:val="single" w:color="auto" w:sz="4" w:space="0"/>
              <w:right w:val="single" w:color="auto" w:sz="4" w:space="0"/>
            </w:tcBorders>
            <w:vAlign w:val="center"/>
          </w:tcPr>
          <w:p w14:paraId="0AAFEF26">
            <w:pPr>
              <w:keepLines/>
              <w:widowControl/>
              <w:adjustRightInd w:val="0"/>
              <w:snapToGrid w:val="0"/>
              <w:spacing w:line="360" w:lineRule="exact"/>
              <w:ind w:firstLine="0" w:firstLineChars="0"/>
              <w:rPr>
                <w:rFonts w:eastAsiaTheme="minorEastAsia"/>
                <w:szCs w:val="21"/>
                <w:highlight w:val="none"/>
              </w:rPr>
            </w:pPr>
            <w:r>
              <w:rPr>
                <w:rFonts w:eastAsiaTheme="minorEastAsia"/>
                <w:color w:val="000000" w:themeColor="text1"/>
                <w:szCs w:val="21"/>
                <w:highlight w:val="none"/>
                <w14:textFill>
                  <w14:solidFill>
                    <w14:schemeClr w14:val="tx1"/>
                  </w14:solidFill>
                </w14:textFill>
              </w:rPr>
              <w:t>谈判保证金不予退还的情形</w:t>
            </w:r>
          </w:p>
        </w:tc>
        <w:tc>
          <w:tcPr>
            <w:tcW w:w="3077" w:type="pct"/>
            <w:tcBorders>
              <w:top w:val="single" w:color="auto" w:sz="4" w:space="0"/>
              <w:left w:val="single" w:color="auto" w:sz="4" w:space="0"/>
              <w:bottom w:val="single" w:color="auto" w:sz="4" w:space="0"/>
              <w:right w:val="single" w:color="auto" w:sz="4" w:space="0"/>
            </w:tcBorders>
            <w:vAlign w:val="center"/>
          </w:tcPr>
          <w:p w14:paraId="1A76495E">
            <w:pPr>
              <w:keepLines/>
              <w:widowControl/>
              <w:snapToGrid w:val="0"/>
              <w:spacing w:line="360" w:lineRule="exact"/>
              <w:ind w:firstLine="0" w:firstLineChars="0"/>
              <w:rPr>
                <w:szCs w:val="21"/>
                <w:highlight w:val="none"/>
              </w:rPr>
            </w:pPr>
            <w:r>
              <w:rPr>
                <w:rFonts w:hint="eastAsia"/>
                <w:szCs w:val="21"/>
                <w:highlight w:val="none"/>
              </w:rPr>
              <w:t>1.供应商在谈判有效期内撤销或修改响应文件的；</w:t>
            </w:r>
          </w:p>
          <w:p w14:paraId="46E95657">
            <w:pPr>
              <w:keepLines/>
              <w:widowControl/>
              <w:snapToGrid w:val="0"/>
              <w:spacing w:line="360" w:lineRule="exact"/>
              <w:ind w:firstLine="0" w:firstLineChars="0"/>
              <w:rPr>
                <w:szCs w:val="21"/>
                <w:highlight w:val="none"/>
              </w:rPr>
            </w:pPr>
            <w:r>
              <w:rPr>
                <w:rFonts w:hint="eastAsia"/>
                <w:szCs w:val="21"/>
                <w:highlight w:val="none"/>
              </w:rPr>
              <w:t>2.除因不可抗力或谈判文件认可的情形以外，成交供应商不与采购人签订合同的；</w:t>
            </w:r>
          </w:p>
          <w:p w14:paraId="00A2347B">
            <w:pPr>
              <w:keepLines/>
              <w:widowControl/>
              <w:snapToGrid w:val="0"/>
              <w:spacing w:line="360" w:lineRule="exact"/>
              <w:ind w:firstLine="0" w:firstLineChars="0"/>
              <w:rPr>
                <w:szCs w:val="21"/>
                <w:highlight w:val="none"/>
              </w:rPr>
            </w:pPr>
            <w:r>
              <w:rPr>
                <w:rFonts w:hint="eastAsia"/>
                <w:szCs w:val="21"/>
                <w:highlight w:val="none"/>
              </w:rPr>
              <w:t>3.成交供应商在签订合同时向采购人提出附加条件的；</w:t>
            </w:r>
          </w:p>
          <w:p w14:paraId="69C4033C">
            <w:pPr>
              <w:keepLines/>
              <w:widowControl/>
              <w:snapToGrid w:val="0"/>
              <w:spacing w:line="360" w:lineRule="exact"/>
              <w:ind w:firstLine="0" w:firstLineChars="0"/>
              <w:rPr>
                <w:szCs w:val="21"/>
                <w:highlight w:val="none"/>
              </w:rPr>
            </w:pPr>
            <w:r>
              <w:rPr>
                <w:rFonts w:hint="eastAsia"/>
                <w:szCs w:val="21"/>
                <w:highlight w:val="none"/>
              </w:rPr>
              <w:t>4.成交供应商不按照谈判文件要求提交履约保证金的；</w:t>
            </w:r>
          </w:p>
          <w:p w14:paraId="1FBD099D">
            <w:pPr>
              <w:keepLines/>
              <w:widowControl/>
              <w:snapToGrid w:val="0"/>
              <w:spacing w:line="360" w:lineRule="exact"/>
              <w:ind w:firstLine="0" w:firstLineChars="0"/>
              <w:rPr>
                <w:rFonts w:eastAsiaTheme="minorEastAsia"/>
                <w:szCs w:val="21"/>
                <w:highlight w:val="none"/>
              </w:rPr>
            </w:pPr>
            <w:r>
              <w:rPr>
                <w:rFonts w:hint="eastAsia"/>
                <w:szCs w:val="21"/>
                <w:highlight w:val="none"/>
              </w:rPr>
              <w:t>5.标中、标后被发现供应商存在恶意串通、出借（挂靠）资质、提供虚假承诺等违法违规行为的。</w:t>
            </w:r>
          </w:p>
        </w:tc>
      </w:tr>
      <w:tr w14:paraId="4C0611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669" w:type="pct"/>
            <w:tcBorders>
              <w:top w:val="single" w:color="auto" w:sz="4" w:space="0"/>
              <w:left w:val="single" w:color="auto" w:sz="4" w:space="0"/>
              <w:bottom w:val="single" w:color="auto" w:sz="4" w:space="0"/>
              <w:right w:val="single" w:color="auto" w:sz="4" w:space="0"/>
            </w:tcBorders>
            <w:vAlign w:val="center"/>
          </w:tcPr>
          <w:p w14:paraId="0CB3F6B6">
            <w:pPr>
              <w:keepLines/>
              <w:widowControl/>
              <w:adjustRightInd w:val="0"/>
              <w:snapToGrid w:val="0"/>
              <w:spacing w:line="360" w:lineRule="exact"/>
              <w:ind w:firstLine="0" w:firstLineChars="0"/>
              <w:jc w:val="center"/>
              <w:rPr>
                <w:rFonts w:eastAsiaTheme="minorEastAsia"/>
                <w:szCs w:val="21"/>
                <w:highlight w:val="none"/>
              </w:rPr>
            </w:pPr>
            <w:r>
              <w:rPr>
                <w:rFonts w:eastAsiaTheme="minorEastAsia"/>
                <w:color w:val="000000" w:themeColor="text1"/>
                <w:szCs w:val="21"/>
                <w:highlight w:val="none"/>
                <w14:textFill>
                  <w14:solidFill>
                    <w14:schemeClr w14:val="tx1"/>
                  </w14:solidFill>
                </w14:textFill>
              </w:rPr>
              <w:t>3.5</w:t>
            </w:r>
          </w:p>
        </w:tc>
        <w:tc>
          <w:tcPr>
            <w:tcW w:w="1252" w:type="pct"/>
            <w:tcBorders>
              <w:top w:val="single" w:color="auto" w:sz="4" w:space="0"/>
              <w:left w:val="single" w:color="auto" w:sz="4" w:space="0"/>
              <w:bottom w:val="single" w:color="auto" w:sz="4" w:space="0"/>
              <w:right w:val="single" w:color="auto" w:sz="4" w:space="0"/>
            </w:tcBorders>
            <w:vAlign w:val="center"/>
          </w:tcPr>
          <w:p w14:paraId="6F0C4F0C">
            <w:pPr>
              <w:keepLines/>
              <w:widowControl/>
              <w:spacing w:line="360" w:lineRule="exact"/>
              <w:ind w:firstLine="0" w:firstLineChars="0"/>
              <w:rPr>
                <w:rFonts w:eastAsiaTheme="minorEastAsia"/>
                <w:szCs w:val="21"/>
                <w:highlight w:val="none"/>
              </w:rPr>
            </w:pPr>
            <w:r>
              <w:rPr>
                <w:rFonts w:eastAsiaTheme="minorEastAsia"/>
                <w:color w:val="000000" w:themeColor="text1"/>
                <w:szCs w:val="21"/>
                <w:highlight w:val="none"/>
                <w14:textFill>
                  <w14:solidFill>
                    <w14:schemeClr w14:val="tx1"/>
                  </w14:solidFill>
                </w14:textFill>
              </w:rPr>
              <w:t>响应文件编制</w:t>
            </w:r>
          </w:p>
        </w:tc>
        <w:tc>
          <w:tcPr>
            <w:tcW w:w="3077" w:type="pct"/>
            <w:tcBorders>
              <w:top w:val="single" w:color="auto" w:sz="4" w:space="0"/>
              <w:left w:val="single" w:color="auto" w:sz="4" w:space="0"/>
              <w:bottom w:val="single" w:color="auto" w:sz="4" w:space="0"/>
              <w:right w:val="single" w:color="auto" w:sz="4" w:space="0"/>
            </w:tcBorders>
            <w:vAlign w:val="center"/>
          </w:tcPr>
          <w:p w14:paraId="464182A2">
            <w:pPr>
              <w:keepLines/>
              <w:widowControl/>
              <w:snapToGrid w:val="0"/>
              <w:spacing w:line="360" w:lineRule="exact"/>
              <w:ind w:firstLine="0" w:firstLineChars="0"/>
              <w:rPr>
                <w:szCs w:val="21"/>
                <w:highlight w:val="none"/>
              </w:rPr>
            </w:pPr>
            <w:r>
              <w:rPr>
                <w:szCs w:val="21"/>
                <w:highlight w:val="none"/>
              </w:rPr>
              <w:t>响应文件应按第六章“响应文件格式”进行编写，如有必要可自行增加，作为响应文件的组成部分。</w:t>
            </w:r>
          </w:p>
          <w:p w14:paraId="5A3D63AE">
            <w:pPr>
              <w:keepLines/>
              <w:widowControl/>
              <w:snapToGrid w:val="0"/>
              <w:spacing w:line="360" w:lineRule="exact"/>
              <w:ind w:firstLine="0" w:firstLineChars="0"/>
              <w:rPr>
                <w:szCs w:val="21"/>
                <w:highlight w:val="none"/>
              </w:rPr>
            </w:pPr>
            <w:r>
              <w:rPr>
                <w:szCs w:val="21"/>
                <w:highlight w:val="none"/>
              </w:rPr>
              <w:t>本项目谈判活动采用远程不见面方式进行，供应商无需提供纸质响应文件。成交结果公示期结束后成交供应商需提供三份纸质完整响应文件，其中正本一份，副本两份。</w:t>
            </w:r>
          </w:p>
          <w:p w14:paraId="0025FA75">
            <w:pPr>
              <w:pStyle w:val="2"/>
              <w:spacing w:line="360" w:lineRule="exact"/>
              <w:ind w:firstLine="0" w:firstLineChars="0"/>
              <w:rPr>
                <w:rFonts w:eastAsiaTheme="minorEastAsia"/>
                <w:szCs w:val="21"/>
                <w:highlight w:val="none"/>
              </w:rPr>
            </w:pPr>
            <w:r>
              <w:rPr>
                <w:szCs w:val="21"/>
                <w:highlight w:val="none"/>
              </w:rPr>
              <w:t>供应商</w:t>
            </w:r>
            <w:r>
              <w:rPr>
                <w:highlight w:val="none"/>
              </w:rPr>
              <w:t>响应文件必须进行加密处理，并在规定的时间内解密，因</w:t>
            </w:r>
            <w:r>
              <w:rPr>
                <w:szCs w:val="21"/>
                <w:highlight w:val="none"/>
              </w:rPr>
              <w:t>供应商</w:t>
            </w:r>
            <w:r>
              <w:rPr>
                <w:highlight w:val="none"/>
              </w:rPr>
              <w:t>原因造成</w:t>
            </w:r>
            <w:r>
              <w:rPr>
                <w:rFonts w:hint="eastAsia"/>
                <w:b/>
                <w:bCs/>
                <w:highlight w:val="none"/>
              </w:rPr>
              <w:t>未</w:t>
            </w:r>
            <w:r>
              <w:rPr>
                <w:b/>
                <w:bCs/>
                <w:highlight w:val="none"/>
              </w:rPr>
              <w:t>在规定的时间内完成解密的</w:t>
            </w:r>
            <w:r>
              <w:rPr>
                <w:highlight w:val="none"/>
              </w:rPr>
              <w:t>，</w:t>
            </w:r>
            <w:r>
              <w:rPr>
                <w:szCs w:val="21"/>
                <w:highlight w:val="none"/>
              </w:rPr>
              <w:t>该供应商响应文件将被拒绝，</w:t>
            </w:r>
            <w:r>
              <w:rPr>
                <w:rFonts w:hint="eastAsia"/>
                <w:szCs w:val="21"/>
                <w:highlight w:val="none"/>
              </w:rPr>
              <w:t>谈判</w:t>
            </w:r>
            <w:r>
              <w:rPr>
                <w:szCs w:val="21"/>
                <w:highlight w:val="none"/>
              </w:rPr>
              <w:t>将按正常程序</w:t>
            </w:r>
            <w:r>
              <w:rPr>
                <w:highlight w:val="none"/>
              </w:rPr>
              <w:t>进行下一步，由此产生的后果由供应商自行承担。</w:t>
            </w:r>
          </w:p>
        </w:tc>
      </w:tr>
      <w:tr w14:paraId="65FF3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669" w:type="pct"/>
            <w:tcBorders>
              <w:top w:val="single" w:color="auto" w:sz="4" w:space="0"/>
              <w:left w:val="single" w:color="auto" w:sz="4" w:space="0"/>
              <w:bottom w:val="single" w:color="auto" w:sz="4" w:space="0"/>
              <w:right w:val="single" w:color="auto" w:sz="4" w:space="0"/>
            </w:tcBorders>
            <w:vAlign w:val="center"/>
          </w:tcPr>
          <w:p w14:paraId="1FE2E165">
            <w:pPr>
              <w:keepLines/>
              <w:widowControl/>
              <w:adjustRightInd w:val="0"/>
              <w:snapToGrid w:val="0"/>
              <w:spacing w:line="360" w:lineRule="exact"/>
              <w:ind w:firstLine="0" w:firstLineChars="0"/>
              <w:jc w:val="center"/>
              <w:rPr>
                <w:rFonts w:eastAsiaTheme="minorEastAsia"/>
                <w:szCs w:val="21"/>
                <w:highlight w:val="none"/>
              </w:rPr>
            </w:pPr>
            <w:r>
              <w:rPr>
                <w:rFonts w:eastAsiaTheme="minorEastAsia"/>
                <w:color w:val="000000" w:themeColor="text1"/>
                <w:szCs w:val="21"/>
                <w:highlight w:val="none"/>
                <w14:textFill>
                  <w14:solidFill>
                    <w14:schemeClr w14:val="tx1"/>
                  </w14:solidFill>
                </w14:textFill>
              </w:rPr>
              <w:t>4.1.1</w:t>
            </w:r>
          </w:p>
        </w:tc>
        <w:tc>
          <w:tcPr>
            <w:tcW w:w="1252" w:type="pct"/>
            <w:tcBorders>
              <w:top w:val="single" w:color="auto" w:sz="4" w:space="0"/>
              <w:left w:val="single" w:color="auto" w:sz="4" w:space="0"/>
              <w:bottom w:val="single" w:color="auto" w:sz="4" w:space="0"/>
              <w:right w:val="single" w:color="auto" w:sz="4" w:space="0"/>
            </w:tcBorders>
            <w:vAlign w:val="center"/>
          </w:tcPr>
          <w:p w14:paraId="5DED92DE">
            <w:pPr>
              <w:keepLines/>
              <w:widowControl/>
              <w:adjustRightInd w:val="0"/>
              <w:snapToGrid w:val="0"/>
              <w:spacing w:line="360" w:lineRule="exact"/>
              <w:ind w:firstLine="0" w:firstLineChars="0"/>
              <w:rPr>
                <w:rFonts w:eastAsiaTheme="minorEastAsia"/>
                <w:szCs w:val="21"/>
                <w:highlight w:val="none"/>
              </w:rPr>
            </w:pPr>
            <w:r>
              <w:rPr>
                <w:rFonts w:eastAsiaTheme="minorEastAsia"/>
                <w:color w:val="000000" w:themeColor="text1"/>
                <w:szCs w:val="21"/>
                <w:highlight w:val="none"/>
                <w14:textFill>
                  <w14:solidFill>
                    <w14:schemeClr w14:val="tx1"/>
                  </w14:solidFill>
                </w14:textFill>
              </w:rPr>
              <w:t>响应文件递交截止时间</w:t>
            </w:r>
          </w:p>
        </w:tc>
        <w:tc>
          <w:tcPr>
            <w:tcW w:w="3077" w:type="pct"/>
            <w:tcBorders>
              <w:top w:val="single" w:color="auto" w:sz="4" w:space="0"/>
              <w:left w:val="single" w:color="auto" w:sz="4" w:space="0"/>
              <w:bottom w:val="single" w:color="auto" w:sz="4" w:space="0"/>
              <w:right w:val="single" w:color="auto" w:sz="4" w:space="0"/>
            </w:tcBorders>
            <w:vAlign w:val="center"/>
          </w:tcPr>
          <w:p w14:paraId="7E282ACF">
            <w:pPr>
              <w:keepLines/>
              <w:widowControl/>
              <w:adjustRightInd w:val="0"/>
              <w:snapToGrid w:val="0"/>
              <w:spacing w:line="360" w:lineRule="exact"/>
              <w:ind w:firstLine="0" w:firstLineChars="0"/>
              <w:rPr>
                <w:rFonts w:eastAsiaTheme="minorEastAsia"/>
                <w:szCs w:val="21"/>
                <w:highlight w:val="none"/>
              </w:rPr>
            </w:pPr>
            <w:r>
              <w:rPr>
                <w:rFonts w:eastAsiaTheme="minorEastAsia"/>
                <w:color w:val="000000" w:themeColor="text1"/>
                <w:szCs w:val="21"/>
                <w:highlight w:val="none"/>
                <w14:textFill>
                  <w14:solidFill>
                    <w14:schemeClr w14:val="tx1"/>
                  </w14:solidFill>
                </w14:textFill>
              </w:rPr>
              <w:t>详见竞争性谈判公告</w:t>
            </w:r>
          </w:p>
        </w:tc>
      </w:tr>
      <w:tr w14:paraId="31B9A8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669" w:type="pct"/>
            <w:tcBorders>
              <w:top w:val="single" w:color="auto" w:sz="4" w:space="0"/>
              <w:left w:val="single" w:color="auto" w:sz="4" w:space="0"/>
              <w:bottom w:val="single" w:color="auto" w:sz="4" w:space="0"/>
              <w:right w:val="single" w:color="auto" w:sz="4" w:space="0"/>
            </w:tcBorders>
            <w:vAlign w:val="center"/>
          </w:tcPr>
          <w:p w14:paraId="0A0A72B5">
            <w:pPr>
              <w:keepLines/>
              <w:widowControl/>
              <w:adjustRightInd w:val="0"/>
              <w:snapToGrid w:val="0"/>
              <w:spacing w:line="360" w:lineRule="exact"/>
              <w:ind w:firstLine="0" w:firstLineChars="0"/>
              <w:jc w:val="center"/>
              <w:rPr>
                <w:rFonts w:eastAsiaTheme="minorEastAsia"/>
                <w:szCs w:val="21"/>
                <w:highlight w:val="none"/>
              </w:rPr>
            </w:pPr>
            <w:r>
              <w:rPr>
                <w:rFonts w:eastAsiaTheme="minorEastAsia"/>
                <w:color w:val="000000" w:themeColor="text1"/>
                <w:szCs w:val="21"/>
                <w:highlight w:val="none"/>
                <w14:textFill>
                  <w14:solidFill>
                    <w14:schemeClr w14:val="tx1"/>
                  </w14:solidFill>
                </w14:textFill>
              </w:rPr>
              <w:t>4.1.2</w:t>
            </w:r>
          </w:p>
        </w:tc>
        <w:tc>
          <w:tcPr>
            <w:tcW w:w="1252" w:type="pct"/>
            <w:tcBorders>
              <w:top w:val="single" w:color="auto" w:sz="4" w:space="0"/>
              <w:left w:val="single" w:color="auto" w:sz="4" w:space="0"/>
              <w:bottom w:val="single" w:color="auto" w:sz="4" w:space="0"/>
              <w:right w:val="single" w:color="auto" w:sz="4" w:space="0"/>
            </w:tcBorders>
            <w:vAlign w:val="center"/>
          </w:tcPr>
          <w:p w14:paraId="4DDF4433">
            <w:pPr>
              <w:keepLines/>
              <w:widowControl/>
              <w:adjustRightInd w:val="0"/>
              <w:snapToGrid w:val="0"/>
              <w:spacing w:line="360" w:lineRule="exact"/>
              <w:ind w:firstLine="0" w:firstLineChars="0"/>
              <w:rPr>
                <w:rFonts w:eastAsiaTheme="minorEastAsia"/>
                <w:szCs w:val="21"/>
                <w:highlight w:val="none"/>
              </w:rPr>
            </w:pPr>
            <w:r>
              <w:rPr>
                <w:rFonts w:eastAsiaTheme="minorEastAsia"/>
                <w:color w:val="000000" w:themeColor="text1"/>
                <w:szCs w:val="21"/>
                <w:highlight w:val="none"/>
                <w14:textFill>
                  <w14:solidFill>
                    <w14:schemeClr w14:val="tx1"/>
                  </w14:solidFill>
                </w14:textFill>
              </w:rPr>
              <w:t>响应文件递交地点</w:t>
            </w:r>
          </w:p>
        </w:tc>
        <w:tc>
          <w:tcPr>
            <w:tcW w:w="3077" w:type="pct"/>
            <w:tcBorders>
              <w:top w:val="single" w:color="auto" w:sz="4" w:space="0"/>
              <w:left w:val="single" w:color="auto" w:sz="4" w:space="0"/>
              <w:bottom w:val="single" w:color="auto" w:sz="4" w:space="0"/>
              <w:right w:val="single" w:color="auto" w:sz="4" w:space="0"/>
            </w:tcBorders>
            <w:vAlign w:val="center"/>
          </w:tcPr>
          <w:p w14:paraId="09482615">
            <w:pPr>
              <w:keepLines/>
              <w:widowControl/>
              <w:adjustRightInd w:val="0"/>
              <w:snapToGrid w:val="0"/>
              <w:spacing w:line="360" w:lineRule="exact"/>
              <w:ind w:firstLine="0" w:firstLineChars="0"/>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本项目采用远程不见面线上交易模式，响应文件由供应商在响应文件递交截止时间前自行在“徐圩新区公共资源交易服务平台”上传。</w:t>
            </w:r>
          </w:p>
          <w:p w14:paraId="2FE9A708">
            <w:pPr>
              <w:keepLines/>
              <w:widowControl/>
              <w:adjustRightInd w:val="0"/>
              <w:snapToGrid w:val="0"/>
              <w:spacing w:line="360" w:lineRule="exact"/>
              <w:ind w:firstLine="0" w:firstLineChars="0"/>
              <w:rPr>
                <w:rFonts w:eastAsiaTheme="minorEastAsia"/>
                <w:szCs w:val="21"/>
                <w:highlight w:val="none"/>
              </w:rPr>
            </w:pPr>
            <w:r>
              <w:rPr>
                <w:rFonts w:eastAsiaTheme="minorEastAsia"/>
                <w:color w:val="000000" w:themeColor="text1"/>
                <w:szCs w:val="21"/>
                <w:highlight w:val="none"/>
                <w14:textFill>
                  <w14:solidFill>
                    <w14:schemeClr w14:val="tx1"/>
                  </w14:solidFill>
                </w14:textFill>
              </w:rPr>
              <w:t>上传流程详见“徐圩新区公共资源交易服务平台操作手册”（网址：http://ggzy.xwxq.gov.cn/home/downloadCenter）</w:t>
            </w:r>
          </w:p>
        </w:tc>
      </w:tr>
      <w:tr w14:paraId="0B5C89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669" w:type="pct"/>
            <w:tcBorders>
              <w:top w:val="single" w:color="auto" w:sz="4" w:space="0"/>
              <w:left w:val="single" w:color="auto" w:sz="4" w:space="0"/>
              <w:bottom w:val="single" w:color="auto" w:sz="4" w:space="0"/>
              <w:right w:val="single" w:color="auto" w:sz="4" w:space="0"/>
            </w:tcBorders>
            <w:vAlign w:val="center"/>
          </w:tcPr>
          <w:p w14:paraId="3A86462F">
            <w:pPr>
              <w:keepLines/>
              <w:widowControl/>
              <w:adjustRightInd w:val="0"/>
              <w:snapToGrid w:val="0"/>
              <w:spacing w:line="360" w:lineRule="exact"/>
              <w:ind w:firstLine="0" w:firstLineChars="0"/>
              <w:jc w:val="center"/>
              <w:rPr>
                <w:rFonts w:eastAsiaTheme="minorEastAsia"/>
                <w:szCs w:val="21"/>
                <w:highlight w:val="none"/>
              </w:rPr>
            </w:pPr>
            <w:r>
              <w:rPr>
                <w:rFonts w:eastAsiaTheme="minorEastAsia"/>
                <w:color w:val="000000" w:themeColor="text1"/>
                <w:szCs w:val="21"/>
                <w:highlight w:val="none"/>
                <w14:textFill>
                  <w14:solidFill>
                    <w14:schemeClr w14:val="tx1"/>
                  </w14:solidFill>
                </w14:textFill>
              </w:rPr>
              <w:t>5.1.1</w:t>
            </w:r>
          </w:p>
        </w:tc>
        <w:tc>
          <w:tcPr>
            <w:tcW w:w="1252" w:type="pct"/>
            <w:tcBorders>
              <w:top w:val="single" w:color="auto" w:sz="4" w:space="0"/>
              <w:left w:val="single" w:color="auto" w:sz="4" w:space="0"/>
              <w:bottom w:val="single" w:color="auto" w:sz="4" w:space="0"/>
              <w:right w:val="single" w:color="auto" w:sz="4" w:space="0"/>
            </w:tcBorders>
            <w:vAlign w:val="center"/>
          </w:tcPr>
          <w:p w14:paraId="4C3F46ED">
            <w:pPr>
              <w:keepLines/>
              <w:widowControl/>
              <w:adjustRightInd w:val="0"/>
              <w:snapToGrid w:val="0"/>
              <w:spacing w:line="360" w:lineRule="exact"/>
              <w:ind w:firstLine="0" w:firstLineChars="0"/>
              <w:rPr>
                <w:rFonts w:eastAsiaTheme="minorEastAsia"/>
                <w:szCs w:val="21"/>
                <w:highlight w:val="none"/>
              </w:rPr>
            </w:pPr>
            <w:r>
              <w:rPr>
                <w:rFonts w:eastAsiaTheme="minorEastAsia"/>
                <w:color w:val="000000" w:themeColor="text1"/>
                <w:szCs w:val="21"/>
                <w:highlight w:val="none"/>
                <w14:textFill>
                  <w14:solidFill>
                    <w14:schemeClr w14:val="tx1"/>
                  </w14:solidFill>
                </w14:textFill>
              </w:rPr>
              <w:t>谈判时间和地点</w:t>
            </w:r>
          </w:p>
        </w:tc>
        <w:tc>
          <w:tcPr>
            <w:tcW w:w="3077" w:type="pct"/>
            <w:tcBorders>
              <w:top w:val="single" w:color="auto" w:sz="4" w:space="0"/>
              <w:left w:val="single" w:color="auto" w:sz="4" w:space="0"/>
              <w:bottom w:val="single" w:color="auto" w:sz="4" w:space="0"/>
              <w:right w:val="single" w:color="auto" w:sz="4" w:space="0"/>
            </w:tcBorders>
            <w:vAlign w:val="center"/>
          </w:tcPr>
          <w:p w14:paraId="3290C15F">
            <w:pPr>
              <w:keepLines/>
              <w:widowControl/>
              <w:adjustRightInd w:val="0"/>
              <w:snapToGrid w:val="0"/>
              <w:spacing w:line="360" w:lineRule="exact"/>
              <w:ind w:firstLine="0" w:firstLineChars="0"/>
              <w:jc w:val="left"/>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谈判时间：同响应文件递交截止时间，远程采购项目的时间均以国家授时中心发布的时间为准。</w:t>
            </w:r>
          </w:p>
          <w:p w14:paraId="76573A17">
            <w:pPr>
              <w:keepLines/>
              <w:widowControl/>
              <w:adjustRightInd w:val="0"/>
              <w:snapToGrid w:val="0"/>
              <w:spacing w:line="360" w:lineRule="exact"/>
              <w:ind w:firstLine="0" w:firstLineChars="0"/>
              <w:jc w:val="left"/>
              <w:rPr>
                <w:rFonts w:eastAsiaTheme="minorEastAsia"/>
                <w:szCs w:val="21"/>
                <w:highlight w:val="none"/>
              </w:rPr>
            </w:pPr>
            <w:r>
              <w:rPr>
                <w:rFonts w:eastAsiaTheme="minorEastAsia"/>
                <w:color w:val="000000" w:themeColor="text1"/>
                <w:szCs w:val="21"/>
                <w:highlight w:val="none"/>
                <w14:textFill>
                  <w14:solidFill>
                    <w14:schemeClr w14:val="tx1"/>
                  </w14:solidFill>
                </w14:textFill>
              </w:rPr>
              <w:t>谈判地点：谈判当日，供应商不必抵达谈判现场，仅需在任意地点通过“徐圩新区不见面开标大厅”远程参加谈判活动。</w:t>
            </w:r>
          </w:p>
        </w:tc>
      </w:tr>
      <w:tr w14:paraId="1BAD6D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669" w:type="pct"/>
            <w:tcBorders>
              <w:top w:val="single" w:color="auto" w:sz="4" w:space="0"/>
              <w:left w:val="single" w:color="auto" w:sz="4" w:space="0"/>
              <w:bottom w:val="single" w:color="auto" w:sz="4" w:space="0"/>
              <w:right w:val="single" w:color="auto" w:sz="4" w:space="0"/>
            </w:tcBorders>
            <w:vAlign w:val="center"/>
          </w:tcPr>
          <w:p w14:paraId="781C8AB2">
            <w:pPr>
              <w:keepLines/>
              <w:widowControl/>
              <w:adjustRightInd w:val="0"/>
              <w:snapToGrid w:val="0"/>
              <w:spacing w:line="360" w:lineRule="exact"/>
              <w:ind w:firstLine="0" w:firstLineChars="0"/>
              <w:jc w:val="center"/>
              <w:rPr>
                <w:rFonts w:eastAsiaTheme="minorEastAsia"/>
                <w:szCs w:val="21"/>
                <w:highlight w:val="none"/>
              </w:rPr>
            </w:pPr>
            <w:r>
              <w:rPr>
                <w:rFonts w:eastAsiaTheme="minorEastAsia"/>
                <w:color w:val="000000" w:themeColor="text1"/>
                <w:szCs w:val="21"/>
                <w:highlight w:val="none"/>
                <w14:textFill>
                  <w14:solidFill>
                    <w14:schemeClr w14:val="tx1"/>
                  </w14:solidFill>
                </w14:textFill>
              </w:rPr>
              <w:t>5.1.2</w:t>
            </w:r>
          </w:p>
        </w:tc>
        <w:tc>
          <w:tcPr>
            <w:tcW w:w="1252" w:type="pct"/>
            <w:tcBorders>
              <w:top w:val="single" w:color="auto" w:sz="4" w:space="0"/>
              <w:left w:val="single" w:color="auto" w:sz="4" w:space="0"/>
              <w:bottom w:val="single" w:color="auto" w:sz="4" w:space="0"/>
              <w:right w:val="single" w:color="auto" w:sz="4" w:space="0"/>
            </w:tcBorders>
            <w:vAlign w:val="center"/>
          </w:tcPr>
          <w:p w14:paraId="7A01BE9B">
            <w:pPr>
              <w:keepLines/>
              <w:widowControl/>
              <w:adjustRightInd w:val="0"/>
              <w:snapToGrid w:val="0"/>
              <w:spacing w:line="360" w:lineRule="exact"/>
              <w:ind w:firstLine="0" w:firstLineChars="0"/>
              <w:rPr>
                <w:rFonts w:eastAsiaTheme="minorEastAsia"/>
                <w:szCs w:val="21"/>
                <w:highlight w:val="none"/>
              </w:rPr>
            </w:pPr>
            <w:r>
              <w:rPr>
                <w:rFonts w:eastAsiaTheme="minorEastAsia"/>
                <w:color w:val="000000" w:themeColor="text1"/>
                <w:szCs w:val="21"/>
                <w:highlight w:val="none"/>
                <w14:textFill>
                  <w14:solidFill>
                    <w14:schemeClr w14:val="tx1"/>
                  </w14:solidFill>
                </w14:textFill>
              </w:rPr>
              <w:t>供应商参会代表</w:t>
            </w:r>
          </w:p>
        </w:tc>
        <w:tc>
          <w:tcPr>
            <w:tcW w:w="3077" w:type="pct"/>
            <w:tcBorders>
              <w:top w:val="single" w:color="auto" w:sz="4" w:space="0"/>
              <w:left w:val="single" w:color="auto" w:sz="4" w:space="0"/>
              <w:bottom w:val="single" w:color="auto" w:sz="4" w:space="0"/>
              <w:right w:val="single" w:color="auto" w:sz="4" w:space="0"/>
            </w:tcBorders>
            <w:vAlign w:val="center"/>
          </w:tcPr>
          <w:p w14:paraId="2FFA2889">
            <w:pPr>
              <w:keepLines/>
              <w:widowControl/>
              <w:adjustRightInd w:val="0"/>
              <w:snapToGrid w:val="0"/>
              <w:spacing w:line="360" w:lineRule="exact"/>
              <w:ind w:firstLine="0" w:firstLineChars="0"/>
              <w:jc w:val="left"/>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参加远程谈判会议的供应商代表须为供应商响应函明确的授权委托代表。供应商参与交互的人员将一直被视为是供应商的授权委托代表，供应商自行承担弄虚作假、随意更换人员所导致的一切后果。</w:t>
            </w:r>
          </w:p>
          <w:p w14:paraId="2AF1DCB9">
            <w:pPr>
              <w:keepLines/>
              <w:widowControl/>
              <w:adjustRightInd w:val="0"/>
              <w:snapToGrid w:val="0"/>
              <w:spacing w:line="360" w:lineRule="exact"/>
              <w:ind w:firstLine="0" w:firstLineChars="0"/>
              <w:jc w:val="left"/>
              <w:rPr>
                <w:rFonts w:eastAsiaTheme="minorEastAsia"/>
                <w:szCs w:val="21"/>
                <w:highlight w:val="none"/>
              </w:rPr>
            </w:pPr>
            <w:r>
              <w:rPr>
                <w:rFonts w:eastAsiaTheme="minorEastAsia"/>
                <w:color w:val="000000" w:themeColor="text1"/>
                <w:szCs w:val="21"/>
                <w:highlight w:val="none"/>
                <w14:textFill>
                  <w14:solidFill>
                    <w14:schemeClr w14:val="tx1"/>
                  </w14:solidFill>
                </w14:textFill>
              </w:rPr>
              <w:t>注：谈判当日，供应商授权委托代表不必抵达谈判现场，应当在谈判文件确定的响应文件递交截止时间前</w:t>
            </w:r>
            <w:r>
              <w:rPr>
                <w:rFonts w:hint="eastAsia" w:eastAsiaTheme="minorEastAsia"/>
                <w:color w:val="000000" w:themeColor="text1"/>
                <w:szCs w:val="21"/>
                <w:highlight w:val="none"/>
                <w14:textFill>
                  <w14:solidFill>
                    <w14:schemeClr w14:val="tx1"/>
                  </w14:solidFill>
                </w14:textFill>
              </w:rPr>
              <w:t>，</w:t>
            </w:r>
            <w:r>
              <w:rPr>
                <w:rFonts w:eastAsiaTheme="minorEastAsia"/>
                <w:color w:val="000000" w:themeColor="text1"/>
                <w:szCs w:val="21"/>
                <w:highlight w:val="none"/>
                <w14:textFill>
                  <w14:solidFill>
                    <w14:schemeClr w14:val="tx1"/>
                  </w14:solidFill>
                </w14:textFill>
              </w:rPr>
              <w:t>在线准时参加谈判活动。</w:t>
            </w:r>
          </w:p>
        </w:tc>
      </w:tr>
      <w:tr w14:paraId="1D3139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669" w:type="pct"/>
            <w:tcBorders>
              <w:top w:val="single" w:color="auto" w:sz="4" w:space="0"/>
              <w:left w:val="single" w:color="auto" w:sz="4" w:space="0"/>
              <w:bottom w:val="single" w:color="auto" w:sz="4" w:space="0"/>
              <w:right w:val="single" w:color="auto" w:sz="4" w:space="0"/>
            </w:tcBorders>
            <w:vAlign w:val="center"/>
          </w:tcPr>
          <w:p w14:paraId="6751FF29">
            <w:pPr>
              <w:keepLines/>
              <w:widowControl/>
              <w:adjustRightInd w:val="0"/>
              <w:snapToGrid w:val="0"/>
              <w:spacing w:line="360" w:lineRule="exact"/>
              <w:ind w:firstLine="0" w:firstLineChars="0"/>
              <w:jc w:val="center"/>
              <w:rPr>
                <w:rFonts w:eastAsiaTheme="minorEastAsia"/>
                <w:szCs w:val="21"/>
                <w:highlight w:val="none"/>
              </w:rPr>
            </w:pPr>
            <w:r>
              <w:rPr>
                <w:rFonts w:eastAsiaTheme="minorEastAsia"/>
                <w:color w:val="000000" w:themeColor="text1"/>
                <w:szCs w:val="21"/>
                <w:highlight w:val="none"/>
                <w14:textFill>
                  <w14:solidFill>
                    <w14:schemeClr w14:val="tx1"/>
                  </w14:solidFill>
                </w14:textFill>
              </w:rPr>
              <w:t>5.2.1</w:t>
            </w:r>
          </w:p>
        </w:tc>
        <w:tc>
          <w:tcPr>
            <w:tcW w:w="1252" w:type="pct"/>
            <w:tcBorders>
              <w:top w:val="single" w:color="auto" w:sz="4" w:space="0"/>
              <w:left w:val="single" w:color="auto" w:sz="4" w:space="0"/>
              <w:bottom w:val="single" w:color="auto" w:sz="4" w:space="0"/>
              <w:right w:val="single" w:color="auto" w:sz="4" w:space="0"/>
            </w:tcBorders>
            <w:vAlign w:val="center"/>
          </w:tcPr>
          <w:p w14:paraId="4FB6C8C5">
            <w:pPr>
              <w:keepLines/>
              <w:widowControl/>
              <w:adjustRightInd w:val="0"/>
              <w:snapToGrid w:val="0"/>
              <w:spacing w:line="360" w:lineRule="exact"/>
              <w:ind w:firstLine="0" w:firstLineChars="0"/>
              <w:rPr>
                <w:rFonts w:eastAsiaTheme="minorEastAsia"/>
                <w:szCs w:val="21"/>
                <w:highlight w:val="none"/>
              </w:rPr>
            </w:pPr>
            <w:r>
              <w:rPr>
                <w:rFonts w:eastAsiaTheme="minorEastAsia"/>
                <w:color w:val="000000" w:themeColor="text1"/>
                <w:szCs w:val="21"/>
                <w:highlight w:val="none"/>
                <w14:textFill>
                  <w14:solidFill>
                    <w14:schemeClr w14:val="tx1"/>
                  </w14:solidFill>
                </w14:textFill>
              </w:rPr>
              <w:t>谈判程序</w:t>
            </w:r>
          </w:p>
        </w:tc>
        <w:tc>
          <w:tcPr>
            <w:tcW w:w="3077" w:type="pct"/>
            <w:tcBorders>
              <w:top w:val="single" w:color="auto" w:sz="4" w:space="0"/>
              <w:left w:val="single" w:color="auto" w:sz="4" w:space="0"/>
              <w:bottom w:val="single" w:color="auto" w:sz="4" w:space="0"/>
              <w:right w:val="single" w:color="auto" w:sz="4" w:space="0"/>
            </w:tcBorders>
            <w:vAlign w:val="center"/>
          </w:tcPr>
          <w:p w14:paraId="32411797">
            <w:pPr>
              <w:keepLines/>
              <w:widowControl/>
              <w:adjustRightInd w:val="0"/>
              <w:snapToGrid w:val="0"/>
              <w:spacing w:line="360" w:lineRule="exact"/>
              <w:ind w:firstLine="0" w:firstLineChars="0"/>
              <w:jc w:val="left"/>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1.供应商签到；</w:t>
            </w:r>
          </w:p>
          <w:p w14:paraId="0632D686">
            <w:pPr>
              <w:keepLines/>
              <w:widowControl/>
              <w:adjustRightInd w:val="0"/>
              <w:snapToGrid w:val="0"/>
              <w:spacing w:line="360" w:lineRule="exact"/>
              <w:ind w:firstLine="0" w:firstLineChars="0"/>
              <w:jc w:val="left"/>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2.供应商解密；</w:t>
            </w:r>
          </w:p>
          <w:p w14:paraId="675C7DE9">
            <w:pPr>
              <w:keepLines/>
              <w:widowControl/>
              <w:adjustRightInd w:val="0"/>
              <w:snapToGrid w:val="0"/>
              <w:spacing w:line="360" w:lineRule="exact"/>
              <w:ind w:firstLine="0" w:firstLineChars="0"/>
              <w:jc w:val="left"/>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3.采购人解密；</w:t>
            </w:r>
          </w:p>
          <w:p w14:paraId="62574C6D">
            <w:pPr>
              <w:keepLines/>
              <w:widowControl/>
              <w:adjustRightInd w:val="0"/>
              <w:snapToGrid w:val="0"/>
              <w:spacing w:line="360" w:lineRule="exact"/>
              <w:ind w:firstLine="0" w:firstLineChars="0"/>
              <w:jc w:val="left"/>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4.结束解密流程；</w:t>
            </w:r>
          </w:p>
          <w:p w14:paraId="4A1BEA4F">
            <w:pPr>
              <w:keepLines/>
              <w:widowControl/>
              <w:adjustRightInd w:val="0"/>
              <w:snapToGrid w:val="0"/>
              <w:spacing w:line="360" w:lineRule="exact"/>
              <w:ind w:firstLine="0" w:firstLineChars="0"/>
              <w:jc w:val="left"/>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5.评审小组形式评审；</w:t>
            </w:r>
          </w:p>
          <w:p w14:paraId="2BF8A414">
            <w:pPr>
              <w:keepLines/>
              <w:widowControl/>
              <w:adjustRightInd w:val="0"/>
              <w:snapToGrid w:val="0"/>
              <w:spacing w:line="360" w:lineRule="exact"/>
              <w:ind w:firstLine="0" w:firstLineChars="0"/>
              <w:jc w:val="left"/>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6.</w:t>
            </w:r>
            <w:r>
              <w:rPr>
                <w:rFonts w:eastAsiaTheme="minorEastAsia"/>
                <w:b/>
                <w:bCs/>
                <w:color w:val="000000" w:themeColor="text1"/>
                <w:szCs w:val="21"/>
                <w:highlight w:val="none"/>
                <w14:textFill>
                  <w14:solidFill>
                    <w14:schemeClr w14:val="tx1"/>
                  </w14:solidFill>
                </w14:textFill>
              </w:rPr>
              <w:t>通过形式评审的供应商二次报价，</w:t>
            </w:r>
            <w:r>
              <w:rPr>
                <w:rFonts w:eastAsiaTheme="minorEastAsia"/>
                <w:color w:val="000000" w:themeColor="text1"/>
                <w:szCs w:val="21"/>
                <w:highlight w:val="none"/>
                <w14:textFill>
                  <w14:solidFill>
                    <w14:schemeClr w14:val="tx1"/>
                  </w14:solidFill>
                </w14:textFill>
              </w:rPr>
              <w:t>唱标，开标结束；</w:t>
            </w:r>
          </w:p>
          <w:p w14:paraId="7CBB62C3">
            <w:pPr>
              <w:keepLines/>
              <w:widowControl/>
              <w:adjustRightInd w:val="0"/>
              <w:snapToGrid w:val="0"/>
              <w:spacing w:line="360" w:lineRule="exact"/>
              <w:ind w:firstLine="0" w:firstLineChars="0"/>
              <w:jc w:val="left"/>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7.评审小组进行资格评审、响应性评审及详细评审；</w:t>
            </w:r>
          </w:p>
          <w:p w14:paraId="3BC8C854">
            <w:pPr>
              <w:keepLines/>
              <w:widowControl/>
              <w:adjustRightInd w:val="0"/>
              <w:snapToGrid w:val="0"/>
              <w:spacing w:line="360" w:lineRule="exact"/>
              <w:ind w:firstLine="0" w:firstLineChars="0"/>
              <w:jc w:val="left"/>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8.评审小组推荐成交候选人；</w:t>
            </w:r>
          </w:p>
          <w:p w14:paraId="20BA112A">
            <w:pPr>
              <w:keepLines/>
              <w:widowControl/>
              <w:adjustRightInd w:val="0"/>
              <w:snapToGrid w:val="0"/>
              <w:spacing w:line="360" w:lineRule="exact"/>
              <w:ind w:firstLine="0" w:firstLineChars="0"/>
              <w:jc w:val="left"/>
              <w:rPr>
                <w:rFonts w:eastAsiaTheme="minorEastAsia"/>
                <w:szCs w:val="21"/>
                <w:highlight w:val="none"/>
              </w:rPr>
            </w:pPr>
            <w:r>
              <w:rPr>
                <w:rFonts w:eastAsiaTheme="minorEastAsia"/>
                <w:color w:val="000000" w:themeColor="text1"/>
                <w:szCs w:val="21"/>
                <w:highlight w:val="none"/>
                <w14:textFill>
                  <w14:solidFill>
                    <w14:schemeClr w14:val="tx1"/>
                  </w14:solidFill>
                </w14:textFill>
              </w:rPr>
              <w:t>9.结束。</w:t>
            </w:r>
          </w:p>
        </w:tc>
      </w:tr>
      <w:tr w14:paraId="56083E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669" w:type="pct"/>
            <w:tcBorders>
              <w:top w:val="single" w:color="auto" w:sz="4" w:space="0"/>
              <w:left w:val="single" w:color="auto" w:sz="4" w:space="0"/>
              <w:bottom w:val="single" w:color="auto" w:sz="4" w:space="0"/>
              <w:right w:val="single" w:color="auto" w:sz="4" w:space="0"/>
            </w:tcBorders>
            <w:vAlign w:val="center"/>
          </w:tcPr>
          <w:p w14:paraId="046A25D3">
            <w:pPr>
              <w:keepLines/>
              <w:widowControl/>
              <w:adjustRightInd w:val="0"/>
              <w:snapToGrid w:val="0"/>
              <w:spacing w:line="360" w:lineRule="exact"/>
              <w:ind w:firstLine="0" w:firstLineChars="0"/>
              <w:jc w:val="center"/>
              <w:rPr>
                <w:rFonts w:eastAsiaTheme="minorEastAsia"/>
                <w:szCs w:val="21"/>
                <w:highlight w:val="none"/>
              </w:rPr>
            </w:pPr>
            <w:r>
              <w:rPr>
                <w:rFonts w:eastAsiaTheme="minorEastAsia"/>
                <w:color w:val="000000" w:themeColor="text1"/>
                <w:szCs w:val="21"/>
                <w:highlight w:val="none"/>
                <w14:textFill>
                  <w14:solidFill>
                    <w14:schemeClr w14:val="tx1"/>
                  </w14:solidFill>
                </w14:textFill>
              </w:rPr>
              <w:t>5.2.2</w:t>
            </w:r>
          </w:p>
        </w:tc>
        <w:tc>
          <w:tcPr>
            <w:tcW w:w="1252" w:type="pct"/>
            <w:tcBorders>
              <w:top w:val="single" w:color="auto" w:sz="4" w:space="0"/>
              <w:left w:val="single" w:color="auto" w:sz="4" w:space="0"/>
              <w:bottom w:val="single" w:color="auto" w:sz="4" w:space="0"/>
              <w:right w:val="single" w:color="auto" w:sz="4" w:space="0"/>
            </w:tcBorders>
            <w:vAlign w:val="center"/>
          </w:tcPr>
          <w:p w14:paraId="7739B9E9">
            <w:pPr>
              <w:keepLines/>
              <w:widowControl/>
              <w:adjustRightInd w:val="0"/>
              <w:snapToGrid w:val="0"/>
              <w:spacing w:line="360" w:lineRule="exact"/>
              <w:ind w:firstLine="0" w:firstLineChars="0"/>
              <w:rPr>
                <w:rFonts w:eastAsiaTheme="minorEastAsia"/>
                <w:szCs w:val="21"/>
                <w:highlight w:val="none"/>
              </w:rPr>
            </w:pPr>
            <w:r>
              <w:rPr>
                <w:rFonts w:eastAsiaTheme="minorEastAsia"/>
                <w:color w:val="000000" w:themeColor="text1"/>
                <w:szCs w:val="21"/>
                <w:highlight w:val="none"/>
                <w14:textFill>
                  <w14:solidFill>
                    <w14:schemeClr w14:val="tx1"/>
                  </w14:solidFill>
                </w14:textFill>
              </w:rPr>
              <w:t>解密时间</w:t>
            </w:r>
          </w:p>
        </w:tc>
        <w:tc>
          <w:tcPr>
            <w:tcW w:w="3077" w:type="pct"/>
            <w:tcBorders>
              <w:top w:val="single" w:color="auto" w:sz="4" w:space="0"/>
              <w:left w:val="single" w:color="auto" w:sz="4" w:space="0"/>
              <w:bottom w:val="single" w:color="auto" w:sz="4" w:space="0"/>
              <w:right w:val="single" w:color="auto" w:sz="4" w:space="0"/>
            </w:tcBorders>
            <w:vAlign w:val="center"/>
          </w:tcPr>
          <w:p w14:paraId="7C9E0A90">
            <w:pPr>
              <w:keepLines/>
              <w:widowControl/>
              <w:adjustRightInd w:val="0"/>
              <w:snapToGrid w:val="0"/>
              <w:spacing w:line="360" w:lineRule="exact"/>
              <w:ind w:firstLine="0" w:firstLineChars="0"/>
              <w:rPr>
                <w:rFonts w:eastAsiaTheme="minorEastAsia"/>
                <w:szCs w:val="21"/>
                <w:highlight w:val="none"/>
              </w:rPr>
            </w:pPr>
            <w:r>
              <w:rPr>
                <w:rFonts w:eastAsiaTheme="minorEastAsia"/>
                <w:color w:val="000000" w:themeColor="text1"/>
                <w:szCs w:val="21"/>
                <w:highlight w:val="none"/>
                <w14:textFill>
                  <w14:solidFill>
                    <w14:schemeClr w14:val="tx1"/>
                  </w14:solidFill>
                </w14:textFill>
              </w:rPr>
              <w:t>20分钟</w:t>
            </w:r>
          </w:p>
        </w:tc>
      </w:tr>
      <w:tr w14:paraId="0CE642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669" w:type="pct"/>
            <w:tcBorders>
              <w:top w:val="single" w:color="auto" w:sz="4" w:space="0"/>
              <w:left w:val="single" w:color="auto" w:sz="4" w:space="0"/>
              <w:bottom w:val="single" w:color="auto" w:sz="4" w:space="0"/>
              <w:right w:val="single" w:color="auto" w:sz="4" w:space="0"/>
            </w:tcBorders>
            <w:vAlign w:val="center"/>
          </w:tcPr>
          <w:p w14:paraId="154B2A41">
            <w:pPr>
              <w:keepLines/>
              <w:widowControl/>
              <w:adjustRightInd w:val="0"/>
              <w:snapToGrid w:val="0"/>
              <w:spacing w:line="360" w:lineRule="exact"/>
              <w:ind w:firstLine="0" w:firstLineChars="0"/>
              <w:jc w:val="center"/>
              <w:rPr>
                <w:rFonts w:eastAsiaTheme="minorEastAsia"/>
                <w:szCs w:val="21"/>
                <w:highlight w:val="none"/>
              </w:rPr>
            </w:pPr>
            <w:r>
              <w:rPr>
                <w:rFonts w:eastAsiaTheme="minorEastAsia"/>
                <w:color w:val="000000" w:themeColor="text1"/>
                <w:szCs w:val="21"/>
                <w:highlight w:val="none"/>
                <w14:textFill>
                  <w14:solidFill>
                    <w14:schemeClr w14:val="tx1"/>
                  </w14:solidFill>
                </w14:textFill>
              </w:rPr>
              <w:t>5.4.1</w:t>
            </w:r>
          </w:p>
        </w:tc>
        <w:tc>
          <w:tcPr>
            <w:tcW w:w="1252" w:type="pct"/>
            <w:tcBorders>
              <w:top w:val="single" w:color="auto" w:sz="4" w:space="0"/>
              <w:left w:val="single" w:color="auto" w:sz="4" w:space="0"/>
              <w:bottom w:val="single" w:color="auto" w:sz="4" w:space="0"/>
              <w:right w:val="single" w:color="auto" w:sz="4" w:space="0"/>
            </w:tcBorders>
            <w:vAlign w:val="center"/>
          </w:tcPr>
          <w:p w14:paraId="7FA0B303">
            <w:pPr>
              <w:keepLines/>
              <w:widowControl/>
              <w:adjustRightInd w:val="0"/>
              <w:snapToGrid w:val="0"/>
              <w:spacing w:line="360" w:lineRule="exact"/>
              <w:ind w:firstLine="0" w:firstLineChars="0"/>
              <w:rPr>
                <w:rFonts w:eastAsiaTheme="minorEastAsia"/>
                <w:szCs w:val="21"/>
                <w:highlight w:val="none"/>
              </w:rPr>
            </w:pPr>
            <w:r>
              <w:rPr>
                <w:rFonts w:eastAsiaTheme="minorEastAsia"/>
                <w:color w:val="000000" w:themeColor="text1"/>
                <w:szCs w:val="21"/>
                <w:highlight w:val="none"/>
                <w14:textFill>
                  <w14:solidFill>
                    <w14:schemeClr w14:val="tx1"/>
                  </w14:solidFill>
                </w14:textFill>
              </w:rPr>
              <w:t>评审小组的组建</w:t>
            </w:r>
          </w:p>
        </w:tc>
        <w:tc>
          <w:tcPr>
            <w:tcW w:w="3077" w:type="pct"/>
            <w:tcBorders>
              <w:top w:val="single" w:color="auto" w:sz="4" w:space="0"/>
              <w:left w:val="single" w:color="auto" w:sz="4" w:space="0"/>
              <w:bottom w:val="single" w:color="auto" w:sz="4" w:space="0"/>
              <w:right w:val="single" w:color="auto" w:sz="4" w:space="0"/>
            </w:tcBorders>
            <w:vAlign w:val="center"/>
          </w:tcPr>
          <w:p w14:paraId="53006B28">
            <w:pPr>
              <w:keepLines/>
              <w:widowControl/>
              <w:adjustRightInd w:val="0"/>
              <w:snapToGrid w:val="0"/>
              <w:spacing w:line="360" w:lineRule="exact"/>
              <w:ind w:firstLine="0" w:firstLineChars="0"/>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评审小组的构成：</w:t>
            </w:r>
            <w:r>
              <w:rPr>
                <w:rFonts w:eastAsiaTheme="minorEastAsia"/>
                <w:color w:val="000000" w:themeColor="text1"/>
                <w:szCs w:val="21"/>
                <w:highlight w:val="none"/>
                <w:u w:val="single"/>
                <w14:textFill>
                  <w14:solidFill>
                    <w14:schemeClr w14:val="tx1"/>
                  </w14:solidFill>
                </w14:textFill>
              </w:rPr>
              <w:t>3人及以上的单数</w:t>
            </w:r>
            <w:r>
              <w:rPr>
                <w:rFonts w:eastAsiaTheme="minorEastAsia"/>
                <w:color w:val="000000" w:themeColor="text1"/>
                <w:szCs w:val="21"/>
                <w:highlight w:val="none"/>
                <w14:textFill>
                  <w14:solidFill>
                    <w14:schemeClr w14:val="tx1"/>
                  </w14:solidFill>
                </w14:textFill>
              </w:rPr>
              <w:t>。</w:t>
            </w:r>
          </w:p>
          <w:p w14:paraId="521BBB1E">
            <w:pPr>
              <w:keepLines/>
              <w:widowControl/>
              <w:adjustRightInd w:val="0"/>
              <w:snapToGrid w:val="0"/>
              <w:spacing w:line="360" w:lineRule="exact"/>
              <w:ind w:firstLine="0" w:firstLineChars="0"/>
              <w:rPr>
                <w:rFonts w:eastAsiaTheme="minorEastAsia"/>
                <w:szCs w:val="21"/>
                <w:highlight w:val="none"/>
              </w:rPr>
            </w:pPr>
            <w:r>
              <w:rPr>
                <w:rFonts w:eastAsiaTheme="minorEastAsia"/>
                <w:color w:val="000000" w:themeColor="text1"/>
                <w:szCs w:val="21"/>
                <w:highlight w:val="none"/>
                <w14:textFill>
                  <w14:solidFill>
                    <w14:schemeClr w14:val="tx1"/>
                  </w14:solidFill>
                </w14:textFill>
              </w:rPr>
              <w:t>评标专家确定方式：</w:t>
            </w:r>
            <w:r>
              <w:rPr>
                <w:rFonts w:eastAsiaTheme="minorEastAsia"/>
                <w:color w:val="000000" w:themeColor="text1"/>
                <w:szCs w:val="21"/>
                <w:highlight w:val="none"/>
                <w:u w:val="single"/>
                <w14:textFill>
                  <w14:solidFill>
                    <w14:schemeClr w14:val="tx1"/>
                  </w14:solidFill>
                </w14:textFill>
              </w:rPr>
              <w:t>专家库中随机抽取</w:t>
            </w:r>
            <w:r>
              <w:rPr>
                <w:rFonts w:eastAsiaTheme="minorEastAsia"/>
                <w:color w:val="000000" w:themeColor="text1"/>
                <w:szCs w:val="21"/>
                <w:highlight w:val="none"/>
                <w14:textFill>
                  <w14:solidFill>
                    <w14:schemeClr w14:val="tx1"/>
                  </w14:solidFill>
                </w14:textFill>
              </w:rPr>
              <w:t>。</w:t>
            </w:r>
          </w:p>
        </w:tc>
      </w:tr>
      <w:tr w14:paraId="147A7C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669" w:type="pct"/>
            <w:tcBorders>
              <w:top w:val="single" w:color="auto" w:sz="4" w:space="0"/>
              <w:left w:val="single" w:color="auto" w:sz="4" w:space="0"/>
              <w:bottom w:val="single" w:color="auto" w:sz="4" w:space="0"/>
              <w:right w:val="single" w:color="auto" w:sz="4" w:space="0"/>
            </w:tcBorders>
            <w:vAlign w:val="center"/>
          </w:tcPr>
          <w:p w14:paraId="789A57FE">
            <w:pPr>
              <w:keepLines/>
              <w:widowControl/>
              <w:adjustRightInd w:val="0"/>
              <w:snapToGrid w:val="0"/>
              <w:spacing w:line="360" w:lineRule="exact"/>
              <w:ind w:firstLine="0" w:firstLineChars="0"/>
              <w:jc w:val="center"/>
              <w:rPr>
                <w:rFonts w:eastAsiaTheme="minorEastAsia"/>
                <w:szCs w:val="21"/>
                <w:highlight w:val="none"/>
              </w:rPr>
            </w:pPr>
            <w:r>
              <w:rPr>
                <w:rFonts w:eastAsiaTheme="minorEastAsia"/>
                <w:color w:val="000000" w:themeColor="text1"/>
                <w:szCs w:val="21"/>
                <w:highlight w:val="none"/>
                <w14:textFill>
                  <w14:solidFill>
                    <w14:schemeClr w14:val="tx1"/>
                  </w14:solidFill>
                </w14:textFill>
              </w:rPr>
              <w:t>5.6</w:t>
            </w:r>
          </w:p>
        </w:tc>
        <w:tc>
          <w:tcPr>
            <w:tcW w:w="1252" w:type="pct"/>
            <w:tcBorders>
              <w:top w:val="single" w:color="auto" w:sz="4" w:space="0"/>
              <w:left w:val="single" w:color="auto" w:sz="4" w:space="0"/>
              <w:bottom w:val="single" w:color="auto" w:sz="4" w:space="0"/>
              <w:right w:val="single" w:color="auto" w:sz="4" w:space="0"/>
            </w:tcBorders>
            <w:vAlign w:val="center"/>
          </w:tcPr>
          <w:p w14:paraId="542EB298">
            <w:pPr>
              <w:keepLines/>
              <w:widowControl/>
              <w:adjustRightInd w:val="0"/>
              <w:snapToGrid w:val="0"/>
              <w:spacing w:line="360" w:lineRule="exact"/>
              <w:ind w:firstLine="0" w:firstLineChars="0"/>
              <w:rPr>
                <w:rFonts w:eastAsiaTheme="minorEastAsia"/>
                <w:szCs w:val="21"/>
                <w:highlight w:val="none"/>
              </w:rPr>
            </w:pPr>
            <w:r>
              <w:rPr>
                <w:rFonts w:eastAsiaTheme="minorEastAsia"/>
                <w:color w:val="000000" w:themeColor="text1"/>
                <w:szCs w:val="21"/>
                <w:highlight w:val="none"/>
                <w14:textFill>
                  <w14:solidFill>
                    <w14:schemeClr w14:val="tx1"/>
                  </w14:solidFill>
                </w14:textFill>
              </w:rPr>
              <w:t>评审入围条件、评审方法及推荐的成交供应商候选人数</w:t>
            </w:r>
          </w:p>
        </w:tc>
        <w:tc>
          <w:tcPr>
            <w:tcW w:w="3077" w:type="pct"/>
            <w:tcBorders>
              <w:top w:val="single" w:color="auto" w:sz="4" w:space="0"/>
              <w:left w:val="single" w:color="auto" w:sz="4" w:space="0"/>
              <w:bottom w:val="single" w:color="auto" w:sz="4" w:space="0"/>
              <w:right w:val="single" w:color="auto" w:sz="4" w:space="0"/>
            </w:tcBorders>
            <w:vAlign w:val="center"/>
          </w:tcPr>
          <w:p w14:paraId="1E864CDC">
            <w:pPr>
              <w:keepLines/>
              <w:widowControl/>
              <w:adjustRightInd w:val="0"/>
              <w:snapToGrid w:val="0"/>
              <w:spacing w:line="360" w:lineRule="exact"/>
              <w:ind w:firstLine="0" w:firstLineChars="0"/>
              <w:jc w:val="left"/>
              <w:rPr>
                <w:szCs w:val="21"/>
                <w:highlight w:val="none"/>
              </w:rPr>
            </w:pPr>
            <w:r>
              <w:rPr>
                <w:rFonts w:eastAsiaTheme="minorEastAsia"/>
                <w:b/>
                <w:bCs/>
                <w:szCs w:val="21"/>
                <w:highlight w:val="none"/>
              </w:rPr>
              <w:t>评审</w:t>
            </w:r>
            <w:r>
              <w:rPr>
                <w:b/>
                <w:bCs/>
                <w:szCs w:val="21"/>
                <w:highlight w:val="none"/>
              </w:rPr>
              <w:t>入围条件：</w:t>
            </w:r>
            <w:r>
              <w:rPr>
                <w:rFonts w:hint="eastAsia"/>
                <w:b/>
                <w:bCs/>
                <w:szCs w:val="21"/>
                <w:highlight w:val="none"/>
                <w:u w:val="single"/>
              </w:rPr>
              <w:t>供应商响应文件响应函中载明的报价高于采购人控制价</w:t>
            </w:r>
            <w:r>
              <w:rPr>
                <w:rFonts w:hint="eastAsia"/>
                <w:b/>
                <w:bCs/>
                <w:sz w:val="21"/>
                <w:szCs w:val="21"/>
                <w:highlight w:val="none"/>
                <w:u w:val="single"/>
                <w:lang w:val="en-US" w:eastAsia="zh-CN"/>
              </w:rPr>
              <w:t>或单项价格高于单项控制价</w:t>
            </w:r>
            <w:r>
              <w:rPr>
                <w:rFonts w:hint="eastAsia"/>
                <w:b/>
                <w:bCs/>
                <w:sz w:val="21"/>
                <w:szCs w:val="21"/>
                <w:highlight w:val="none"/>
                <w:u w:val="single"/>
              </w:rPr>
              <w:t>的</w:t>
            </w:r>
            <w:r>
              <w:rPr>
                <w:rFonts w:hint="eastAsia"/>
                <w:b/>
                <w:bCs/>
                <w:szCs w:val="21"/>
                <w:highlight w:val="none"/>
                <w:u w:val="single"/>
              </w:rPr>
              <w:t>，不再进行后续评审。</w:t>
            </w:r>
            <w:r>
              <w:rPr>
                <w:b/>
                <w:bCs/>
                <w:szCs w:val="21"/>
                <w:highlight w:val="none"/>
              </w:rPr>
              <w:br w:type="textWrapping"/>
            </w:r>
            <w:r>
              <w:rPr>
                <w:rFonts w:eastAsiaTheme="minorEastAsia"/>
                <w:color w:val="000000" w:themeColor="text1"/>
                <w:szCs w:val="21"/>
                <w:highlight w:val="none"/>
                <w14:textFill>
                  <w14:solidFill>
                    <w14:schemeClr w14:val="tx1"/>
                  </w14:solidFill>
                </w14:textFill>
              </w:rPr>
              <w:t>评审方法：</w:t>
            </w:r>
            <w:r>
              <w:rPr>
                <w:szCs w:val="21"/>
                <w:highlight w:val="none"/>
              </w:rPr>
              <w:t>经评审的最低价法，谈判评审小组对满足谈判文件实质要求的响应文件进行评审。按最终报价由低到高的顺序推荐成交候选人。</w:t>
            </w:r>
          </w:p>
          <w:p w14:paraId="213F4D05">
            <w:pPr>
              <w:keepLines/>
              <w:widowControl/>
              <w:adjustRightInd w:val="0"/>
              <w:snapToGrid w:val="0"/>
              <w:spacing w:line="360" w:lineRule="exact"/>
              <w:ind w:firstLine="0" w:firstLineChars="0"/>
              <w:jc w:val="left"/>
              <w:rPr>
                <w:rFonts w:eastAsiaTheme="minorEastAsia"/>
                <w:szCs w:val="21"/>
                <w:highlight w:val="none"/>
              </w:rPr>
            </w:pPr>
            <w:r>
              <w:rPr>
                <w:rFonts w:eastAsiaTheme="minorEastAsia"/>
                <w:color w:val="000000" w:themeColor="text1"/>
                <w:szCs w:val="21"/>
                <w:highlight w:val="none"/>
                <w14:textFill>
                  <w14:solidFill>
                    <w14:schemeClr w14:val="tx1"/>
                  </w14:solidFill>
                </w14:textFill>
              </w:rPr>
              <w:t>推荐的成交供应商候选人数：</w:t>
            </w:r>
            <w:r>
              <w:rPr>
                <w:rFonts w:hint="eastAsia" w:eastAsiaTheme="minorEastAsia"/>
                <w:color w:val="000000" w:themeColor="text1"/>
                <w:szCs w:val="21"/>
                <w:highlight w:val="none"/>
                <w14:textFill>
                  <w14:solidFill>
                    <w14:schemeClr w14:val="tx1"/>
                  </w14:solidFill>
                </w14:textFill>
              </w:rPr>
              <w:t>1-3</w:t>
            </w:r>
            <w:r>
              <w:rPr>
                <w:rFonts w:eastAsiaTheme="minorEastAsia"/>
                <w:color w:val="000000" w:themeColor="text1"/>
                <w:szCs w:val="21"/>
                <w:highlight w:val="none"/>
                <w14:textFill>
                  <w14:solidFill>
                    <w14:schemeClr w14:val="tx1"/>
                  </w14:solidFill>
                </w14:textFill>
              </w:rPr>
              <w:t>名</w:t>
            </w:r>
          </w:p>
        </w:tc>
      </w:tr>
      <w:tr w14:paraId="40A990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669" w:type="pct"/>
            <w:tcBorders>
              <w:top w:val="single" w:color="auto" w:sz="4" w:space="0"/>
              <w:left w:val="single" w:color="auto" w:sz="4" w:space="0"/>
              <w:bottom w:val="single" w:color="auto" w:sz="4" w:space="0"/>
              <w:right w:val="single" w:color="auto" w:sz="4" w:space="0"/>
            </w:tcBorders>
            <w:vAlign w:val="center"/>
          </w:tcPr>
          <w:p w14:paraId="39F4EFC3">
            <w:pPr>
              <w:keepLines/>
              <w:widowControl/>
              <w:adjustRightInd w:val="0"/>
              <w:snapToGrid w:val="0"/>
              <w:spacing w:line="360" w:lineRule="exact"/>
              <w:ind w:firstLine="0" w:firstLineChars="0"/>
              <w:jc w:val="center"/>
              <w:rPr>
                <w:szCs w:val="21"/>
                <w:highlight w:val="none"/>
              </w:rPr>
            </w:pPr>
            <w:r>
              <w:rPr>
                <w:rFonts w:hint="eastAsia"/>
                <w:color w:val="000000"/>
                <w:szCs w:val="21"/>
                <w:highlight w:val="none"/>
              </w:rPr>
              <w:t>7.3.1</w:t>
            </w:r>
          </w:p>
        </w:tc>
        <w:tc>
          <w:tcPr>
            <w:tcW w:w="1252" w:type="pct"/>
            <w:tcBorders>
              <w:top w:val="single" w:color="auto" w:sz="4" w:space="0"/>
              <w:left w:val="single" w:color="auto" w:sz="4" w:space="0"/>
              <w:bottom w:val="single" w:color="auto" w:sz="4" w:space="0"/>
              <w:right w:val="single" w:color="auto" w:sz="4" w:space="0"/>
            </w:tcBorders>
            <w:vAlign w:val="center"/>
          </w:tcPr>
          <w:p w14:paraId="049ECFCE">
            <w:pPr>
              <w:keepLines/>
              <w:widowControl/>
              <w:adjustRightInd w:val="0"/>
              <w:snapToGrid w:val="0"/>
              <w:spacing w:line="360" w:lineRule="exact"/>
              <w:ind w:firstLine="0" w:firstLineChars="0"/>
              <w:rPr>
                <w:szCs w:val="21"/>
                <w:highlight w:val="none"/>
              </w:rPr>
            </w:pPr>
            <w:r>
              <w:rPr>
                <w:rFonts w:hint="eastAsia"/>
                <w:color w:val="000000"/>
                <w:szCs w:val="21"/>
                <w:highlight w:val="none"/>
              </w:rPr>
              <w:t>签订合同</w:t>
            </w:r>
          </w:p>
        </w:tc>
        <w:tc>
          <w:tcPr>
            <w:tcW w:w="3077" w:type="pct"/>
            <w:tcBorders>
              <w:top w:val="single" w:color="auto" w:sz="4" w:space="0"/>
              <w:left w:val="single" w:color="auto" w:sz="4" w:space="0"/>
              <w:bottom w:val="single" w:color="auto" w:sz="4" w:space="0"/>
              <w:right w:val="single" w:color="auto" w:sz="4" w:space="0"/>
            </w:tcBorders>
            <w:vAlign w:val="center"/>
          </w:tcPr>
          <w:p w14:paraId="5B96BBA5">
            <w:pPr>
              <w:keepLines/>
              <w:widowControl/>
              <w:adjustRightInd w:val="0"/>
              <w:snapToGrid w:val="0"/>
              <w:spacing w:line="360" w:lineRule="exact"/>
              <w:ind w:firstLine="0" w:firstLineChars="0"/>
              <w:rPr>
                <w:szCs w:val="21"/>
                <w:highlight w:val="none"/>
              </w:rPr>
            </w:pPr>
            <w:r>
              <w:rPr>
                <w:rFonts w:hint="eastAsia"/>
                <w:color w:val="000000"/>
                <w:szCs w:val="21"/>
                <w:highlight w:val="none"/>
              </w:rPr>
              <w:t>采购人和（拟确定）成交供应商应当在谈判有效期内以及成交结果公示期结束后</w:t>
            </w:r>
            <w:r>
              <w:rPr>
                <w:rFonts w:hint="eastAsia"/>
                <w:color w:val="000000"/>
                <w:szCs w:val="21"/>
                <w:highlight w:val="none"/>
                <w:u w:val="single"/>
              </w:rPr>
              <w:t>30</w:t>
            </w:r>
            <w:r>
              <w:rPr>
                <w:rFonts w:hint="eastAsia"/>
                <w:color w:val="000000"/>
                <w:szCs w:val="21"/>
                <w:highlight w:val="none"/>
              </w:rPr>
              <w:t>天内，根据采购文件和成交供应商的响应文件订立书面合同。</w:t>
            </w:r>
          </w:p>
        </w:tc>
      </w:tr>
      <w:tr w14:paraId="5AF879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669" w:type="pct"/>
            <w:tcBorders>
              <w:top w:val="single" w:color="auto" w:sz="4" w:space="0"/>
              <w:left w:val="single" w:color="auto" w:sz="4" w:space="0"/>
              <w:bottom w:val="single" w:color="auto" w:sz="4" w:space="0"/>
              <w:right w:val="single" w:color="auto" w:sz="4" w:space="0"/>
            </w:tcBorders>
            <w:vAlign w:val="center"/>
          </w:tcPr>
          <w:p w14:paraId="44162CCA">
            <w:pPr>
              <w:keepLines/>
              <w:widowControl/>
              <w:adjustRightInd w:val="0"/>
              <w:snapToGrid w:val="0"/>
              <w:spacing w:line="360" w:lineRule="exact"/>
              <w:ind w:firstLine="0" w:firstLineChars="0"/>
              <w:jc w:val="center"/>
              <w:rPr>
                <w:rFonts w:eastAsiaTheme="minorEastAsia"/>
                <w:szCs w:val="21"/>
                <w:highlight w:val="none"/>
              </w:rPr>
            </w:pPr>
            <w:r>
              <w:rPr>
                <w:rFonts w:eastAsiaTheme="minorEastAsia"/>
                <w:color w:val="000000" w:themeColor="text1"/>
                <w:szCs w:val="21"/>
                <w:highlight w:val="none"/>
                <w14:textFill>
                  <w14:solidFill>
                    <w14:schemeClr w14:val="tx1"/>
                  </w14:solidFill>
                </w14:textFill>
              </w:rPr>
              <w:t>8.5.3</w:t>
            </w:r>
          </w:p>
        </w:tc>
        <w:tc>
          <w:tcPr>
            <w:tcW w:w="1252" w:type="pct"/>
            <w:tcBorders>
              <w:top w:val="single" w:color="auto" w:sz="4" w:space="0"/>
              <w:left w:val="single" w:color="auto" w:sz="4" w:space="0"/>
              <w:bottom w:val="single" w:color="auto" w:sz="4" w:space="0"/>
              <w:right w:val="single" w:color="auto" w:sz="4" w:space="0"/>
            </w:tcBorders>
            <w:vAlign w:val="center"/>
          </w:tcPr>
          <w:p w14:paraId="21C12C02">
            <w:pPr>
              <w:keepLines/>
              <w:widowControl/>
              <w:adjustRightInd w:val="0"/>
              <w:snapToGrid w:val="0"/>
              <w:spacing w:line="360" w:lineRule="exact"/>
              <w:ind w:firstLine="0" w:firstLineChars="0"/>
              <w:rPr>
                <w:rFonts w:eastAsiaTheme="minorEastAsia"/>
                <w:szCs w:val="21"/>
                <w:highlight w:val="none"/>
              </w:rPr>
            </w:pPr>
            <w:r>
              <w:rPr>
                <w:rFonts w:eastAsiaTheme="minorEastAsia"/>
                <w:color w:val="000000" w:themeColor="text1"/>
                <w:szCs w:val="21"/>
                <w:highlight w:val="none"/>
                <w14:textFill>
                  <w14:solidFill>
                    <w14:schemeClr w14:val="tx1"/>
                  </w14:solidFill>
                </w14:textFill>
              </w:rPr>
              <w:t>投诉受理部门</w:t>
            </w:r>
          </w:p>
        </w:tc>
        <w:tc>
          <w:tcPr>
            <w:tcW w:w="3077" w:type="pct"/>
            <w:tcBorders>
              <w:top w:val="single" w:color="auto" w:sz="4" w:space="0"/>
              <w:left w:val="single" w:color="auto" w:sz="4" w:space="0"/>
              <w:bottom w:val="single" w:color="auto" w:sz="4" w:space="0"/>
              <w:right w:val="single" w:color="auto" w:sz="4" w:space="0"/>
            </w:tcBorders>
            <w:vAlign w:val="center"/>
          </w:tcPr>
          <w:p w14:paraId="0B04A208">
            <w:pPr>
              <w:keepLines/>
              <w:widowControl/>
              <w:adjustRightInd w:val="0"/>
              <w:snapToGrid w:val="0"/>
              <w:spacing w:line="360" w:lineRule="exact"/>
              <w:ind w:firstLine="0" w:firstLineChars="0"/>
              <w:jc w:val="left"/>
              <w:rPr>
                <w:szCs w:val="21"/>
                <w:highlight w:val="none"/>
              </w:rPr>
            </w:pPr>
            <w:r>
              <w:rPr>
                <w:szCs w:val="21"/>
                <w:highlight w:val="none"/>
              </w:rPr>
              <w:t>投诉受理部门：</w:t>
            </w:r>
            <w:r>
              <w:rPr>
                <w:rFonts w:hint="eastAsia"/>
                <w:szCs w:val="21"/>
                <w:highlight w:val="none"/>
                <w:lang w:val="en-US" w:eastAsia="zh-CN"/>
              </w:rPr>
              <w:t>港控集团</w:t>
            </w:r>
            <w:r>
              <w:rPr>
                <w:szCs w:val="21"/>
                <w:highlight w:val="none"/>
              </w:rPr>
              <w:t>审计法务部</w:t>
            </w:r>
          </w:p>
          <w:p w14:paraId="33D52671">
            <w:pPr>
              <w:keepLines/>
              <w:widowControl/>
              <w:adjustRightInd w:val="0"/>
              <w:snapToGrid w:val="0"/>
              <w:spacing w:line="360" w:lineRule="exact"/>
              <w:ind w:firstLine="0" w:firstLineChars="0"/>
              <w:jc w:val="left"/>
              <w:rPr>
                <w:rFonts w:eastAsiaTheme="minorEastAsia"/>
                <w:szCs w:val="21"/>
                <w:highlight w:val="none"/>
              </w:rPr>
            </w:pPr>
            <w:r>
              <w:rPr>
                <w:szCs w:val="21"/>
                <w:highlight w:val="none"/>
              </w:rPr>
              <w:t>联系方式：</w:t>
            </w:r>
            <w:r>
              <w:rPr>
                <w:szCs w:val="21"/>
                <w:highlight w:val="none"/>
                <w:u w:val="single"/>
              </w:rPr>
              <w:t xml:space="preserve"> 0518-82252522 </w:t>
            </w:r>
          </w:p>
        </w:tc>
      </w:tr>
      <w:tr w14:paraId="093694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669" w:type="pct"/>
            <w:tcBorders>
              <w:top w:val="single" w:color="auto" w:sz="4" w:space="0"/>
              <w:left w:val="single" w:color="auto" w:sz="4" w:space="0"/>
              <w:bottom w:val="single" w:color="auto" w:sz="4" w:space="0"/>
              <w:right w:val="single" w:color="auto" w:sz="4" w:space="0"/>
            </w:tcBorders>
            <w:vAlign w:val="center"/>
          </w:tcPr>
          <w:p w14:paraId="094BE9E4">
            <w:pPr>
              <w:keepLines/>
              <w:widowControl/>
              <w:adjustRightInd w:val="0"/>
              <w:snapToGrid w:val="0"/>
              <w:spacing w:line="360" w:lineRule="exact"/>
              <w:ind w:firstLine="0" w:firstLineChars="0"/>
              <w:jc w:val="center"/>
              <w:rPr>
                <w:rFonts w:eastAsiaTheme="minorEastAsia"/>
                <w:color w:val="000000" w:themeColor="text1"/>
                <w:szCs w:val="21"/>
                <w:highlight w:val="none"/>
                <w14:textFill>
                  <w14:solidFill>
                    <w14:schemeClr w14:val="tx1"/>
                  </w14:solidFill>
                </w14:textFill>
              </w:rPr>
            </w:pPr>
            <w:bookmarkStart w:id="17" w:name="_Toc144974510"/>
            <w:bookmarkStart w:id="18" w:name="_Toc443200825"/>
            <w:bookmarkStart w:id="19" w:name="_Toc247527567"/>
            <w:bookmarkStart w:id="20" w:name="_Toc247513966"/>
            <w:bookmarkStart w:id="21" w:name="_Toc152045542"/>
            <w:bookmarkStart w:id="22" w:name="_Toc152042318"/>
            <w:r>
              <w:rPr>
                <w:szCs w:val="21"/>
                <w:highlight w:val="none"/>
              </w:rPr>
              <w:t>8.5.6</w:t>
            </w:r>
          </w:p>
        </w:tc>
        <w:tc>
          <w:tcPr>
            <w:tcW w:w="1252" w:type="pct"/>
            <w:tcBorders>
              <w:top w:val="single" w:color="auto" w:sz="4" w:space="0"/>
              <w:left w:val="single" w:color="auto" w:sz="4" w:space="0"/>
              <w:bottom w:val="single" w:color="auto" w:sz="4" w:space="0"/>
              <w:right w:val="single" w:color="auto" w:sz="4" w:space="0"/>
            </w:tcBorders>
            <w:vAlign w:val="center"/>
          </w:tcPr>
          <w:p w14:paraId="40588FD1">
            <w:pPr>
              <w:adjustRightInd w:val="0"/>
              <w:snapToGrid w:val="0"/>
              <w:spacing w:line="360" w:lineRule="exact"/>
              <w:ind w:firstLine="0" w:firstLineChars="0"/>
              <w:jc w:val="left"/>
              <w:rPr>
                <w:rFonts w:eastAsiaTheme="minorEastAsia"/>
                <w:color w:val="000000" w:themeColor="text1"/>
                <w:szCs w:val="21"/>
                <w:highlight w:val="none"/>
                <w14:textFill>
                  <w14:solidFill>
                    <w14:schemeClr w14:val="tx1"/>
                  </w14:solidFill>
                </w14:textFill>
              </w:rPr>
            </w:pPr>
            <w:r>
              <w:rPr>
                <w:szCs w:val="21"/>
                <w:highlight w:val="none"/>
              </w:rPr>
              <w:t>异议提出的方式</w:t>
            </w:r>
          </w:p>
        </w:tc>
        <w:tc>
          <w:tcPr>
            <w:tcW w:w="3077" w:type="pct"/>
            <w:tcBorders>
              <w:top w:val="single" w:color="auto" w:sz="4" w:space="0"/>
              <w:left w:val="single" w:color="auto" w:sz="4" w:space="0"/>
              <w:bottom w:val="single" w:color="auto" w:sz="4" w:space="0"/>
              <w:right w:val="single" w:color="auto" w:sz="4" w:space="0"/>
            </w:tcBorders>
            <w:vAlign w:val="center"/>
          </w:tcPr>
          <w:p w14:paraId="2092236A">
            <w:pPr>
              <w:adjustRightInd w:val="0"/>
              <w:snapToGrid w:val="0"/>
              <w:spacing w:line="360" w:lineRule="exact"/>
              <w:ind w:firstLine="0" w:firstLineChars="0"/>
              <w:rPr>
                <w:szCs w:val="21"/>
                <w:highlight w:val="none"/>
              </w:rPr>
            </w:pPr>
            <w:r>
              <w:rPr>
                <w:szCs w:val="21"/>
                <w:highlight w:val="none"/>
              </w:rPr>
              <w:t>（一）异议提交的</w:t>
            </w:r>
            <w:r>
              <w:rPr>
                <w:highlight w:val="none"/>
              </w:rPr>
              <w:t>形式：现场递交、邮寄（快递）提交或在徐圩新区公共资源交易服务平台线上提交等</w:t>
            </w:r>
            <w:r>
              <w:rPr>
                <w:szCs w:val="21"/>
                <w:highlight w:val="none"/>
              </w:rPr>
              <w:t>；</w:t>
            </w:r>
          </w:p>
          <w:p w14:paraId="21654EDC">
            <w:pPr>
              <w:adjustRightInd w:val="0"/>
              <w:snapToGrid w:val="0"/>
              <w:spacing w:line="360" w:lineRule="exact"/>
              <w:ind w:firstLine="0" w:firstLineChars="0"/>
              <w:rPr>
                <w:szCs w:val="21"/>
                <w:highlight w:val="none"/>
              </w:rPr>
            </w:pPr>
            <w:r>
              <w:rPr>
                <w:szCs w:val="21"/>
                <w:highlight w:val="none"/>
              </w:rPr>
              <w:t>（二）</w:t>
            </w:r>
            <w:r>
              <w:rPr>
                <w:highlight w:val="none"/>
              </w:rPr>
              <w:t>采用现场递交、邮寄（快递）形式</w:t>
            </w:r>
            <w:r>
              <w:rPr>
                <w:szCs w:val="21"/>
                <w:highlight w:val="none"/>
              </w:rPr>
              <w:t>提交异议书</w:t>
            </w:r>
            <w:r>
              <w:rPr>
                <w:highlight w:val="none"/>
              </w:rPr>
              <w:t>的</w:t>
            </w:r>
            <w:r>
              <w:rPr>
                <w:szCs w:val="21"/>
                <w:highlight w:val="none"/>
              </w:rPr>
              <w:t>，异议人需联系采购人获取地址，异议书格式需符合法律法规规定要求，异议书参考格式可在</w:t>
            </w:r>
            <w:r>
              <w:rPr>
                <w:highlight w:val="none"/>
              </w:rPr>
              <w:t>徐圩新区公共资源交易服务平台服务指南中下载；</w:t>
            </w:r>
          </w:p>
          <w:p w14:paraId="468F0DFC">
            <w:pPr>
              <w:adjustRightInd w:val="0"/>
              <w:snapToGrid w:val="0"/>
              <w:spacing w:line="360" w:lineRule="exact"/>
              <w:ind w:firstLine="0" w:firstLineChars="0"/>
              <w:rPr>
                <w:highlight w:val="none"/>
              </w:rPr>
            </w:pPr>
            <w:r>
              <w:rPr>
                <w:szCs w:val="21"/>
                <w:highlight w:val="none"/>
              </w:rPr>
              <w:t>（三）</w:t>
            </w:r>
            <w:r>
              <w:rPr>
                <w:highlight w:val="none"/>
              </w:rPr>
              <w:t>采用徐圩新区公共资源交易服务平台线上</w:t>
            </w:r>
            <w:r>
              <w:rPr>
                <w:szCs w:val="21"/>
                <w:highlight w:val="none"/>
              </w:rPr>
              <w:t>提交异议书</w:t>
            </w:r>
            <w:r>
              <w:rPr>
                <w:highlight w:val="none"/>
              </w:rPr>
              <w:t>的</w:t>
            </w:r>
            <w:r>
              <w:rPr>
                <w:szCs w:val="21"/>
                <w:highlight w:val="none"/>
              </w:rPr>
              <w:t>，</w:t>
            </w:r>
            <w:r>
              <w:rPr>
                <w:highlight w:val="none"/>
              </w:rPr>
              <w:t>有关要求：</w:t>
            </w:r>
          </w:p>
          <w:p w14:paraId="791861FF">
            <w:pPr>
              <w:adjustRightInd w:val="0"/>
              <w:snapToGrid w:val="0"/>
              <w:spacing w:line="360" w:lineRule="exact"/>
              <w:ind w:firstLine="0" w:firstLineChars="0"/>
              <w:rPr>
                <w:highlight w:val="none"/>
              </w:rPr>
            </w:pPr>
            <w:r>
              <w:rPr>
                <w:szCs w:val="21"/>
                <w:highlight w:val="none"/>
              </w:rPr>
              <w:t>（1）异议人需先在</w:t>
            </w:r>
            <w:r>
              <w:rPr>
                <w:highlight w:val="none"/>
              </w:rPr>
              <w:t>徐圩新区公共资源交易服务平台注册供应商账号，供应商账号注册成功后登陆账号，在首页选择异议投诉模块，在异议投诉模块中提交异议书。</w:t>
            </w:r>
          </w:p>
          <w:p w14:paraId="37747198">
            <w:pPr>
              <w:adjustRightInd w:val="0"/>
              <w:snapToGrid w:val="0"/>
              <w:spacing w:line="360" w:lineRule="exact"/>
              <w:ind w:firstLine="0" w:firstLineChars="0"/>
              <w:jc w:val="left"/>
              <w:rPr>
                <w:rFonts w:eastAsiaTheme="minorEastAsia"/>
                <w:color w:val="000000" w:themeColor="text1"/>
                <w:szCs w:val="21"/>
                <w:highlight w:val="none"/>
                <w14:textFill>
                  <w14:solidFill>
                    <w14:schemeClr w14:val="tx1"/>
                  </w14:solidFill>
                </w14:textFill>
              </w:rPr>
            </w:pPr>
            <w:r>
              <w:rPr>
                <w:szCs w:val="21"/>
                <w:highlight w:val="none"/>
              </w:rPr>
              <w:t>（2）异议书参考格式可在</w:t>
            </w:r>
            <w:r>
              <w:rPr>
                <w:highlight w:val="none"/>
              </w:rPr>
              <w:t>徐圩新区公共资源交易服务平台服务指南中下载，平台线上</w:t>
            </w:r>
            <w:r>
              <w:rPr>
                <w:szCs w:val="21"/>
                <w:highlight w:val="none"/>
              </w:rPr>
              <w:t>提交异议书</w:t>
            </w:r>
            <w:r>
              <w:rPr>
                <w:rFonts w:hint="eastAsia"/>
                <w:highlight w:val="none"/>
              </w:rPr>
              <w:t>服务</w:t>
            </w:r>
            <w:r>
              <w:rPr>
                <w:highlight w:val="none"/>
              </w:rPr>
              <w:t>电话：</w:t>
            </w:r>
            <w:r>
              <w:rPr>
                <w:rFonts w:hint="eastAsia"/>
                <w:color w:val="000000" w:themeColor="text1"/>
                <w:highlight w:val="none"/>
                <w14:textFill>
                  <w14:solidFill>
                    <w14:schemeClr w14:val="tx1"/>
                  </w14:solidFill>
                </w14:textFill>
              </w:rPr>
              <w:t>13390543877</w:t>
            </w:r>
            <w:r>
              <w:rPr>
                <w:highlight w:val="none"/>
              </w:rPr>
              <w:t>。</w:t>
            </w:r>
          </w:p>
        </w:tc>
      </w:tr>
      <w:tr w14:paraId="131C2A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669" w:type="pct"/>
            <w:tcBorders>
              <w:top w:val="single" w:color="auto" w:sz="4" w:space="0"/>
              <w:left w:val="single" w:color="auto" w:sz="4" w:space="0"/>
              <w:bottom w:val="single" w:color="auto" w:sz="4" w:space="0"/>
              <w:right w:val="single" w:color="auto" w:sz="4" w:space="0"/>
            </w:tcBorders>
            <w:vAlign w:val="center"/>
          </w:tcPr>
          <w:p w14:paraId="0DF4B2D6">
            <w:pPr>
              <w:adjustRightInd w:val="0"/>
              <w:snapToGrid w:val="0"/>
              <w:spacing w:line="360" w:lineRule="exact"/>
              <w:ind w:firstLine="0" w:firstLineChars="0"/>
              <w:jc w:val="center"/>
              <w:rPr>
                <w:szCs w:val="21"/>
                <w:highlight w:val="none"/>
              </w:rPr>
            </w:pPr>
            <w:r>
              <w:rPr>
                <w:szCs w:val="21"/>
                <w:highlight w:val="none"/>
              </w:rPr>
              <w:t>8.5.7</w:t>
            </w:r>
          </w:p>
        </w:tc>
        <w:tc>
          <w:tcPr>
            <w:tcW w:w="1252" w:type="pct"/>
            <w:tcBorders>
              <w:top w:val="single" w:color="auto" w:sz="4" w:space="0"/>
              <w:left w:val="single" w:color="auto" w:sz="4" w:space="0"/>
              <w:bottom w:val="single" w:color="auto" w:sz="4" w:space="0"/>
              <w:right w:val="single" w:color="auto" w:sz="4" w:space="0"/>
            </w:tcBorders>
            <w:vAlign w:val="center"/>
          </w:tcPr>
          <w:p w14:paraId="7F7D7A9A">
            <w:pPr>
              <w:adjustRightInd w:val="0"/>
              <w:snapToGrid w:val="0"/>
              <w:spacing w:line="360" w:lineRule="exact"/>
              <w:ind w:firstLine="0" w:firstLineChars="0"/>
              <w:jc w:val="left"/>
              <w:rPr>
                <w:szCs w:val="21"/>
                <w:highlight w:val="none"/>
              </w:rPr>
            </w:pPr>
            <w:r>
              <w:rPr>
                <w:szCs w:val="21"/>
                <w:highlight w:val="none"/>
              </w:rPr>
              <w:t>投诉提出的方式</w:t>
            </w:r>
          </w:p>
        </w:tc>
        <w:tc>
          <w:tcPr>
            <w:tcW w:w="3077" w:type="pct"/>
            <w:tcBorders>
              <w:top w:val="single" w:color="auto" w:sz="4" w:space="0"/>
              <w:left w:val="single" w:color="auto" w:sz="4" w:space="0"/>
              <w:bottom w:val="single" w:color="auto" w:sz="4" w:space="0"/>
              <w:right w:val="single" w:color="auto" w:sz="4" w:space="0"/>
            </w:tcBorders>
            <w:vAlign w:val="center"/>
          </w:tcPr>
          <w:p w14:paraId="0BD5755D">
            <w:pPr>
              <w:adjustRightInd w:val="0"/>
              <w:snapToGrid w:val="0"/>
              <w:spacing w:line="360" w:lineRule="exact"/>
              <w:ind w:firstLine="0" w:firstLineChars="0"/>
              <w:rPr>
                <w:szCs w:val="21"/>
                <w:highlight w:val="none"/>
              </w:rPr>
            </w:pPr>
            <w:r>
              <w:rPr>
                <w:szCs w:val="21"/>
                <w:highlight w:val="none"/>
              </w:rPr>
              <w:t>（一）投诉提交的</w:t>
            </w:r>
            <w:r>
              <w:rPr>
                <w:highlight w:val="none"/>
              </w:rPr>
              <w:t>形式：现场递交、邮寄（快递）提交或在徐圩新区公共资源交易服务平台线上提交等</w:t>
            </w:r>
            <w:r>
              <w:rPr>
                <w:szCs w:val="21"/>
                <w:highlight w:val="none"/>
              </w:rPr>
              <w:t>；</w:t>
            </w:r>
          </w:p>
          <w:p w14:paraId="17041760">
            <w:pPr>
              <w:adjustRightInd w:val="0"/>
              <w:snapToGrid w:val="0"/>
              <w:spacing w:line="360" w:lineRule="exact"/>
              <w:ind w:firstLine="0" w:firstLineChars="0"/>
              <w:rPr>
                <w:szCs w:val="21"/>
                <w:highlight w:val="none"/>
              </w:rPr>
            </w:pPr>
            <w:r>
              <w:rPr>
                <w:szCs w:val="21"/>
                <w:highlight w:val="none"/>
              </w:rPr>
              <w:t>（二）</w:t>
            </w:r>
            <w:r>
              <w:rPr>
                <w:highlight w:val="none"/>
              </w:rPr>
              <w:t>采用现场递交、邮寄（快递）形式</w:t>
            </w:r>
            <w:r>
              <w:rPr>
                <w:szCs w:val="21"/>
                <w:highlight w:val="none"/>
              </w:rPr>
              <w:t>提交投诉书</w:t>
            </w:r>
            <w:r>
              <w:rPr>
                <w:highlight w:val="none"/>
              </w:rPr>
              <w:t>的</w:t>
            </w:r>
            <w:r>
              <w:rPr>
                <w:szCs w:val="21"/>
                <w:highlight w:val="none"/>
              </w:rPr>
              <w:t>，投诉人需联系投诉受理单位获取地址，投诉书参考格式可在</w:t>
            </w:r>
            <w:r>
              <w:rPr>
                <w:highlight w:val="none"/>
              </w:rPr>
              <w:t>徐圩新区公共资源交易服务平台服务指南中下载；</w:t>
            </w:r>
          </w:p>
          <w:p w14:paraId="13018642">
            <w:pPr>
              <w:adjustRightInd w:val="0"/>
              <w:snapToGrid w:val="0"/>
              <w:spacing w:line="360" w:lineRule="exact"/>
              <w:ind w:firstLine="0" w:firstLineChars="0"/>
              <w:rPr>
                <w:highlight w:val="none"/>
              </w:rPr>
            </w:pPr>
            <w:r>
              <w:rPr>
                <w:szCs w:val="21"/>
                <w:highlight w:val="none"/>
              </w:rPr>
              <w:t>（三）</w:t>
            </w:r>
            <w:r>
              <w:rPr>
                <w:highlight w:val="none"/>
              </w:rPr>
              <w:t>采用徐圩新区公共资源交易服务平台线上</w:t>
            </w:r>
            <w:r>
              <w:rPr>
                <w:szCs w:val="21"/>
                <w:highlight w:val="none"/>
              </w:rPr>
              <w:t>提交投诉书</w:t>
            </w:r>
            <w:r>
              <w:rPr>
                <w:highlight w:val="none"/>
              </w:rPr>
              <w:t>的</w:t>
            </w:r>
            <w:r>
              <w:rPr>
                <w:szCs w:val="21"/>
                <w:highlight w:val="none"/>
              </w:rPr>
              <w:t>，</w:t>
            </w:r>
            <w:r>
              <w:rPr>
                <w:highlight w:val="none"/>
              </w:rPr>
              <w:t>有关要求：</w:t>
            </w:r>
          </w:p>
          <w:p w14:paraId="3C885749">
            <w:pPr>
              <w:adjustRightInd w:val="0"/>
              <w:snapToGrid w:val="0"/>
              <w:spacing w:line="360" w:lineRule="exact"/>
              <w:ind w:firstLine="0" w:firstLineChars="0"/>
              <w:rPr>
                <w:highlight w:val="none"/>
              </w:rPr>
            </w:pPr>
            <w:r>
              <w:rPr>
                <w:szCs w:val="21"/>
                <w:highlight w:val="none"/>
              </w:rPr>
              <w:t>（1）投诉人需先在</w:t>
            </w:r>
            <w:r>
              <w:rPr>
                <w:highlight w:val="none"/>
              </w:rPr>
              <w:t>徐圩新区公共资源交易服务平台注册供应商账号，供应商账号注册成功后登陆账号，在首页选择异议投诉模块，在异议投诉模块中提交</w:t>
            </w:r>
            <w:r>
              <w:rPr>
                <w:szCs w:val="21"/>
                <w:highlight w:val="none"/>
              </w:rPr>
              <w:t>投诉</w:t>
            </w:r>
            <w:r>
              <w:rPr>
                <w:highlight w:val="none"/>
              </w:rPr>
              <w:t>书。</w:t>
            </w:r>
          </w:p>
          <w:p w14:paraId="55896608">
            <w:pPr>
              <w:adjustRightInd w:val="0"/>
              <w:snapToGrid w:val="0"/>
              <w:spacing w:line="360" w:lineRule="exact"/>
              <w:ind w:firstLine="0" w:firstLineChars="0"/>
              <w:jc w:val="left"/>
              <w:rPr>
                <w:szCs w:val="21"/>
                <w:highlight w:val="none"/>
              </w:rPr>
            </w:pPr>
            <w:r>
              <w:rPr>
                <w:szCs w:val="21"/>
                <w:highlight w:val="none"/>
              </w:rPr>
              <w:t>（2）投诉书参考格式可在</w:t>
            </w:r>
            <w:r>
              <w:rPr>
                <w:highlight w:val="none"/>
              </w:rPr>
              <w:t>徐圩新区公共资源交易服务平台服务指南中下载，平台线上</w:t>
            </w:r>
            <w:r>
              <w:rPr>
                <w:szCs w:val="21"/>
                <w:highlight w:val="none"/>
              </w:rPr>
              <w:t>提交投诉书</w:t>
            </w:r>
            <w:r>
              <w:rPr>
                <w:rFonts w:hint="eastAsia"/>
                <w:highlight w:val="none"/>
              </w:rPr>
              <w:t>服务</w:t>
            </w:r>
            <w:r>
              <w:rPr>
                <w:highlight w:val="none"/>
              </w:rPr>
              <w:t>电话：0518-82252522。</w:t>
            </w:r>
          </w:p>
        </w:tc>
      </w:tr>
      <w:tr w14:paraId="59F8D4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669" w:type="pct"/>
            <w:tcBorders>
              <w:top w:val="single" w:color="auto" w:sz="4" w:space="0"/>
              <w:left w:val="single" w:color="auto" w:sz="4" w:space="0"/>
              <w:bottom w:val="single" w:color="auto" w:sz="4" w:space="0"/>
              <w:right w:val="single" w:color="auto" w:sz="4" w:space="0"/>
            </w:tcBorders>
            <w:vAlign w:val="center"/>
          </w:tcPr>
          <w:p w14:paraId="3AA7C720">
            <w:pPr>
              <w:keepLines/>
              <w:widowControl/>
              <w:adjustRightInd w:val="0"/>
              <w:snapToGrid w:val="0"/>
              <w:spacing w:line="360" w:lineRule="exact"/>
              <w:ind w:firstLine="0" w:firstLineChars="0"/>
              <w:jc w:val="center"/>
              <w:rPr>
                <w:szCs w:val="21"/>
                <w:highlight w:val="none"/>
              </w:rPr>
            </w:pPr>
            <w:r>
              <w:rPr>
                <w:rFonts w:eastAsiaTheme="minorEastAsia"/>
                <w:color w:val="000000" w:themeColor="text1"/>
                <w:szCs w:val="21"/>
                <w:highlight w:val="none"/>
                <w14:textFill>
                  <w14:solidFill>
                    <w14:schemeClr w14:val="tx1"/>
                  </w14:solidFill>
                </w14:textFill>
              </w:rPr>
              <w:t>10.1</w:t>
            </w:r>
          </w:p>
        </w:tc>
        <w:tc>
          <w:tcPr>
            <w:tcW w:w="1252" w:type="pct"/>
            <w:tcBorders>
              <w:top w:val="single" w:color="auto" w:sz="4" w:space="0"/>
              <w:left w:val="single" w:color="auto" w:sz="4" w:space="0"/>
              <w:bottom w:val="single" w:color="auto" w:sz="4" w:space="0"/>
              <w:right w:val="single" w:color="auto" w:sz="4" w:space="0"/>
            </w:tcBorders>
            <w:vAlign w:val="center"/>
          </w:tcPr>
          <w:p w14:paraId="518EE839">
            <w:pPr>
              <w:keepLines/>
              <w:widowControl/>
              <w:adjustRightInd w:val="0"/>
              <w:snapToGrid w:val="0"/>
              <w:spacing w:line="360" w:lineRule="exact"/>
              <w:ind w:firstLine="0" w:firstLineChars="0"/>
              <w:rPr>
                <w:szCs w:val="21"/>
                <w:highlight w:val="none"/>
              </w:rPr>
            </w:pPr>
            <w:r>
              <w:rPr>
                <w:rFonts w:eastAsiaTheme="minorEastAsia"/>
                <w:color w:val="000000" w:themeColor="text1"/>
                <w:szCs w:val="21"/>
                <w:highlight w:val="none"/>
                <w14:textFill>
                  <w14:solidFill>
                    <w14:schemeClr w14:val="tx1"/>
                  </w14:solidFill>
                </w14:textFill>
              </w:rPr>
              <w:t>需要补充的其他内容</w:t>
            </w:r>
          </w:p>
        </w:tc>
        <w:tc>
          <w:tcPr>
            <w:tcW w:w="3077" w:type="pct"/>
            <w:tcBorders>
              <w:top w:val="single" w:color="auto" w:sz="4" w:space="0"/>
              <w:left w:val="single" w:color="auto" w:sz="4" w:space="0"/>
              <w:bottom w:val="single" w:color="auto" w:sz="4" w:space="0"/>
              <w:right w:val="single" w:color="auto" w:sz="4" w:space="0"/>
            </w:tcBorders>
            <w:vAlign w:val="center"/>
          </w:tcPr>
          <w:p w14:paraId="726FA520">
            <w:pPr>
              <w:keepLines/>
              <w:widowControl/>
              <w:adjustRightInd w:val="0"/>
              <w:snapToGrid w:val="0"/>
              <w:spacing w:line="360" w:lineRule="exact"/>
              <w:ind w:firstLine="0" w:firstLineChars="0"/>
              <w:jc w:val="left"/>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1.本项目采用远程不见面线上开展谈判及评审。供应商除网上下载谈判文件外，还应在供应商须知前附表规定的响应文件递交截止时间前，向“徐圩新区公共资源交易服务平台”递交加密后的电子响应文件。因供应商原因造成响应文件在规定的时间内未能正常下载或解密的，该响应文件将被拒绝。本次采购活动通过不见面交易系统及相应的配套硬件设备（摄像头、话筒、麦克风等）完成远程解密、评审办法与系数抽取、采购现场异议及回复、响应文件报价宣布、响应文件评审等交互环节。相关要求和说明如下：</w:t>
            </w:r>
          </w:p>
          <w:p w14:paraId="401EB556">
            <w:pPr>
              <w:keepLines/>
              <w:widowControl/>
              <w:adjustRightInd w:val="0"/>
              <w:snapToGrid w:val="0"/>
              <w:spacing w:line="360" w:lineRule="exact"/>
              <w:ind w:firstLine="0" w:firstLineChars="0"/>
              <w:jc w:val="left"/>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（1）远程采购项目的时间均以国家授时中心发布的时间为准；</w:t>
            </w:r>
          </w:p>
          <w:p w14:paraId="751F6FB1">
            <w:pPr>
              <w:keepLines/>
              <w:widowControl/>
              <w:adjustRightInd w:val="0"/>
              <w:snapToGrid w:val="0"/>
              <w:spacing w:line="360" w:lineRule="exact"/>
              <w:ind w:firstLine="0" w:firstLineChars="0"/>
              <w:jc w:val="left"/>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（2）响应文件递交及评审当日，供应商不必抵达</w:t>
            </w:r>
            <w:r>
              <w:rPr>
                <w:rFonts w:hint="eastAsia" w:eastAsiaTheme="minorEastAsia"/>
                <w:color w:val="000000" w:themeColor="text1"/>
                <w:szCs w:val="21"/>
                <w:highlight w:val="none"/>
                <w14:textFill>
                  <w14:solidFill>
                    <w14:schemeClr w14:val="tx1"/>
                  </w14:solidFill>
                </w14:textFill>
              </w:rPr>
              <w:t>谈判</w:t>
            </w:r>
            <w:r>
              <w:rPr>
                <w:rFonts w:eastAsiaTheme="minorEastAsia"/>
                <w:color w:val="000000" w:themeColor="text1"/>
                <w:szCs w:val="21"/>
                <w:highlight w:val="none"/>
                <w14:textFill>
                  <w14:solidFill>
                    <w14:schemeClr w14:val="tx1"/>
                  </w14:solidFill>
                </w14:textFill>
              </w:rPr>
              <w:t>现场，应当在谈判文件确定的响应文件递交截止时间前在线准时参加谈判活动，并务必在不见面开标大厅中进行签到、文件解密、答疑澄清等。</w:t>
            </w:r>
          </w:p>
          <w:p w14:paraId="520CD621">
            <w:pPr>
              <w:keepLines/>
              <w:widowControl/>
              <w:adjustRightInd w:val="0"/>
              <w:snapToGrid w:val="0"/>
              <w:spacing w:line="360" w:lineRule="exact"/>
              <w:ind w:firstLine="0" w:firstLineChars="0"/>
              <w:jc w:val="left"/>
              <w:rPr>
                <w:rFonts w:eastAsiaTheme="minorEastAsia"/>
                <w:color w:val="000000" w:themeColor="text1"/>
                <w:szCs w:val="21"/>
                <w:highlight w:val="none"/>
                <w14:textFill>
                  <w14:solidFill>
                    <w14:schemeClr w14:val="tx1"/>
                  </w14:solidFill>
                </w14:textFill>
              </w:rPr>
            </w:pPr>
            <w:r>
              <w:rPr>
                <w:rFonts w:ascii="Segoe UI Symbol" w:hAnsi="Segoe UI Symbol" w:cs="Segoe UI Symbol" w:eastAsiaTheme="minorEastAsia"/>
                <w:color w:val="000000" w:themeColor="text1"/>
                <w:szCs w:val="21"/>
                <w:highlight w:val="none"/>
                <w14:textFill>
                  <w14:solidFill>
                    <w14:schemeClr w14:val="tx1"/>
                  </w14:solidFill>
                </w14:textFill>
              </w:rPr>
              <w:t>★</w:t>
            </w:r>
            <w:r>
              <w:rPr>
                <w:rFonts w:eastAsiaTheme="minorEastAsia"/>
                <w:color w:val="000000" w:themeColor="text1"/>
                <w:szCs w:val="21"/>
                <w:highlight w:val="none"/>
                <w14:textFill>
                  <w14:solidFill>
                    <w14:schemeClr w14:val="tx1"/>
                  </w14:solidFill>
                </w14:textFill>
              </w:rPr>
              <w:t>注：徐圩新区不见面开标大厅网址为https://ggzykb.xwxq.gov.cn/#/login，务必在文件递交截止时间前签到，未在不见面开标大厅中进行签到的供应商将无法参加后续电子谈判及评审相关流程，谈判文件将被原路退回。</w:t>
            </w:r>
          </w:p>
          <w:p w14:paraId="517FA181">
            <w:pPr>
              <w:keepLines/>
              <w:widowControl/>
              <w:adjustRightInd w:val="0"/>
              <w:snapToGrid w:val="0"/>
              <w:spacing w:line="360" w:lineRule="exact"/>
              <w:ind w:firstLine="0" w:firstLineChars="0"/>
              <w:jc w:val="left"/>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2.响应文件递交截止时间前，各供应商授权委托人提前进入不见面开标大厅，播放测试音频，根据操作手册（供应商手册可通过“徐圩新区公共资源交易服务平台”服务指南（网址：http://ggzy.xwxq.gov.cn/home/downloadCenter）下载）进入相应项目的开标会议区收听观看实时音视频交互效果并及时在讨论组中反馈，未按时加入开标会议区并完成登录（包括签到）操作的或未能在开标会议区内全程参与交互的，视为放弃交互和放弃对谈判及评审全过程提疑的权利，供应商将无法看到解密指令、异议回复、唱标等实时情况，并承担由此导致的一切后果（本项目供应商应在响应文件递交截止时间前在不见面开标大厅完成签到，只要有一家供应商完成签到，即视为网上采购平台运行无故障，未在响应文件递交截止时间前完成签到的供应商其响应文件将被拒绝）；</w:t>
            </w:r>
          </w:p>
          <w:p w14:paraId="2863B2D2">
            <w:pPr>
              <w:keepLines/>
              <w:widowControl/>
              <w:adjustRightInd w:val="0"/>
              <w:snapToGrid w:val="0"/>
              <w:spacing w:line="360" w:lineRule="exact"/>
              <w:ind w:firstLine="0" w:firstLineChars="0"/>
              <w:jc w:val="left"/>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3.响应文件递交截止时间后，采购人将在系统内公布供应商名单并核验谈判保证金递交情况，然后通过开标会议区发出响应文件解密的指令，供应商按规定要求自行实施远程解密，供应商解密限定在发出响应文件解密指令后的20分钟内完成。因供应商网络与电源不稳定、未按操作手册要求配置软硬件或用错、故意不在要求时限内完成解密等自身原因，导致响应文件在规定时间内未能解密、解密失败或解密超时，视为供应商人撤销其响应文件，系统内响应文件将被退回；因采购平台原因导致无法按时完成响应文件解密或响应文件公布、评审工作无法进行的，可根据实际情况相应延迟解密时间或调整响应文件公布、评审时间（本项目在限定的解密时间内，只要有一家供应商解密成功，即视为网上采购平台运行无故障）。</w:t>
            </w:r>
          </w:p>
          <w:p w14:paraId="13CFFDC8">
            <w:pPr>
              <w:keepLines/>
              <w:widowControl/>
              <w:adjustRightInd w:val="0"/>
              <w:snapToGrid w:val="0"/>
              <w:spacing w:line="360" w:lineRule="exact"/>
              <w:ind w:firstLine="0" w:firstLineChars="0"/>
              <w:jc w:val="left"/>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4.响应文件公布、评审全过程中，各供应商参与远程交互的授权委托人应始终为同一个人，中途不得更换，在异议提出等特殊情况下需要交互时，供应商参与交互的人员将均被视为是供应商的授权委托人，供应商自行承担随意更换人员所导致的一切后果。</w:t>
            </w:r>
          </w:p>
          <w:p w14:paraId="2D478CD1">
            <w:pPr>
              <w:keepLines/>
              <w:widowControl/>
              <w:adjustRightInd w:val="0"/>
              <w:snapToGrid w:val="0"/>
              <w:spacing w:line="360" w:lineRule="exact"/>
              <w:ind w:firstLine="0" w:firstLineChars="0"/>
              <w:jc w:val="left"/>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5.如遇系统原因导致交易不能进行的，采购人将及时采用电话方式联系供应商进行报价。采购过程中遇到系统操作及技术问题，请联系：冯晨，15380270066。</w:t>
            </w:r>
          </w:p>
          <w:p w14:paraId="2CF1F961">
            <w:pPr>
              <w:keepLines/>
              <w:widowControl/>
              <w:adjustRightInd w:val="0"/>
              <w:snapToGrid w:val="0"/>
              <w:spacing w:line="360" w:lineRule="exact"/>
              <w:ind w:firstLine="0" w:firstLineChars="0"/>
              <w:jc w:val="left"/>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6.为顺利实现本项目采购活动的远程交互，建议供应商配置的硬件设施有：高配置电脑、高速稳定的网络、电源（不间断）、音视频设备（话筒、耳麦、高清摄像头、音响）、扫描仪、打印机、传真机、高清视频监控等；建议供应商具备的软件设施有：360或Google浏览器。为保证交互效果，建议供应商选择封闭安静的地点参与远程交互。因供应商自身软硬件配备不齐全或发生故障等问题而导致在交互过程中出现不稳定或中断等情况的，由供应商自身承担一切后果。</w:t>
            </w:r>
          </w:p>
        </w:tc>
      </w:tr>
    </w:tbl>
    <w:p w14:paraId="3A04EEC2">
      <w:pPr>
        <w:widowControl/>
        <w:ind w:firstLine="480"/>
        <w:jc w:val="left"/>
        <w:rPr>
          <w:rFonts w:eastAsiaTheme="minorEastAsia"/>
          <w:b/>
          <w:sz w:val="24"/>
          <w:highlight w:val="none"/>
        </w:rPr>
      </w:pPr>
      <w:r>
        <w:rPr>
          <w:rFonts w:eastAsiaTheme="minorEastAsia"/>
          <w:sz w:val="24"/>
          <w:highlight w:val="none"/>
        </w:rPr>
        <w:br w:type="page"/>
      </w:r>
    </w:p>
    <w:p w14:paraId="6A485B7F">
      <w:pPr>
        <w:pStyle w:val="5"/>
        <w:spacing w:before="0" w:after="0" w:line="400" w:lineRule="exact"/>
        <w:ind w:firstLine="0" w:firstLineChars="0"/>
        <w:jc w:val="center"/>
        <w:rPr>
          <w:rFonts w:ascii="Times New Roman" w:hAnsi="Times New Roman" w:eastAsiaTheme="minorEastAsia"/>
          <w:sz w:val="24"/>
          <w:szCs w:val="24"/>
          <w:highlight w:val="none"/>
        </w:rPr>
      </w:pPr>
      <w:bookmarkStart w:id="23" w:name="_Toc3244"/>
      <w:bookmarkStart w:id="24" w:name="_Toc12595"/>
      <w:bookmarkStart w:id="25" w:name="_Toc21384"/>
      <w:bookmarkStart w:id="26" w:name="_Toc27067"/>
      <w:r>
        <w:rPr>
          <w:rFonts w:ascii="Times New Roman" w:hAnsi="Times New Roman" w:eastAsiaTheme="minorEastAsia"/>
          <w:sz w:val="30"/>
          <w:szCs w:val="30"/>
          <w:highlight w:val="none"/>
        </w:rPr>
        <w:t>供应商须知</w:t>
      </w:r>
      <w:bookmarkEnd w:id="23"/>
      <w:bookmarkEnd w:id="24"/>
      <w:bookmarkEnd w:id="25"/>
      <w:bookmarkEnd w:id="26"/>
    </w:p>
    <w:p w14:paraId="74EAFADD">
      <w:pPr>
        <w:pStyle w:val="5"/>
        <w:spacing w:before="0" w:after="0" w:line="400" w:lineRule="exact"/>
        <w:ind w:firstLine="0" w:firstLineChars="0"/>
        <w:rPr>
          <w:rFonts w:ascii="Times New Roman" w:hAnsi="Times New Roman" w:eastAsiaTheme="minorEastAsia"/>
          <w:sz w:val="21"/>
          <w:szCs w:val="21"/>
          <w:highlight w:val="none"/>
        </w:rPr>
      </w:pPr>
      <w:bookmarkStart w:id="27" w:name="_Toc15500"/>
      <w:bookmarkStart w:id="28" w:name="_Toc11022"/>
      <w:bookmarkStart w:id="29" w:name="_Toc5501"/>
      <w:r>
        <w:rPr>
          <w:rFonts w:ascii="Times New Roman" w:hAnsi="Times New Roman" w:eastAsiaTheme="minorEastAsia"/>
          <w:sz w:val="21"/>
          <w:szCs w:val="21"/>
          <w:highlight w:val="none"/>
        </w:rPr>
        <w:t>一、总则</w:t>
      </w:r>
      <w:bookmarkEnd w:id="27"/>
      <w:bookmarkEnd w:id="28"/>
      <w:bookmarkEnd w:id="29"/>
    </w:p>
    <w:p w14:paraId="75A6E76B">
      <w:pPr>
        <w:ind w:firstLine="422"/>
        <w:rPr>
          <w:rFonts w:eastAsiaTheme="minorEastAsia"/>
          <w:b/>
          <w:szCs w:val="21"/>
          <w:highlight w:val="none"/>
        </w:rPr>
      </w:pPr>
      <w:bookmarkStart w:id="30" w:name="_Toc511655698"/>
      <w:bookmarkStart w:id="31" w:name="_Toc512009286"/>
      <w:bookmarkStart w:id="32" w:name="_Toc520410573"/>
      <w:bookmarkStart w:id="33" w:name="_Toc389065146"/>
      <w:r>
        <w:rPr>
          <w:rFonts w:eastAsiaTheme="minorEastAsia"/>
          <w:b/>
          <w:szCs w:val="21"/>
          <w:highlight w:val="none"/>
        </w:rPr>
        <w:t>1.1项目概况</w:t>
      </w:r>
      <w:bookmarkEnd w:id="30"/>
      <w:bookmarkEnd w:id="31"/>
    </w:p>
    <w:p w14:paraId="1F08ECE2">
      <w:pPr>
        <w:ind w:firstLine="420"/>
        <w:rPr>
          <w:rFonts w:eastAsiaTheme="minorEastAsia"/>
          <w:szCs w:val="21"/>
          <w:highlight w:val="none"/>
        </w:rPr>
      </w:pPr>
      <w:r>
        <w:rPr>
          <w:rFonts w:eastAsiaTheme="minorEastAsia"/>
          <w:szCs w:val="21"/>
          <w:highlight w:val="none"/>
        </w:rPr>
        <w:t>1.1.1本项目采购人：见“供应商须知前附表”。</w:t>
      </w:r>
    </w:p>
    <w:p w14:paraId="34745B11">
      <w:pPr>
        <w:ind w:firstLine="420"/>
        <w:rPr>
          <w:rFonts w:eastAsiaTheme="minorEastAsia"/>
          <w:szCs w:val="21"/>
          <w:highlight w:val="none"/>
        </w:rPr>
      </w:pPr>
      <w:r>
        <w:rPr>
          <w:rFonts w:eastAsiaTheme="minorEastAsia"/>
          <w:szCs w:val="21"/>
          <w:highlight w:val="none"/>
        </w:rPr>
        <w:t>1.1.2本项目采购代理机构：见“供应商须知前附表”。</w:t>
      </w:r>
    </w:p>
    <w:p w14:paraId="6ED66128">
      <w:pPr>
        <w:ind w:firstLine="420"/>
        <w:rPr>
          <w:rFonts w:eastAsiaTheme="minorEastAsia"/>
          <w:szCs w:val="21"/>
          <w:highlight w:val="none"/>
        </w:rPr>
      </w:pPr>
      <w:r>
        <w:rPr>
          <w:rFonts w:eastAsiaTheme="minorEastAsia"/>
          <w:szCs w:val="21"/>
          <w:highlight w:val="none"/>
        </w:rPr>
        <w:t>1.1.3本项目名称：见“供应商须知前附表”。</w:t>
      </w:r>
    </w:p>
    <w:p w14:paraId="315A2E66">
      <w:pPr>
        <w:ind w:firstLine="420"/>
        <w:rPr>
          <w:rFonts w:eastAsiaTheme="minorEastAsia"/>
          <w:szCs w:val="21"/>
          <w:highlight w:val="none"/>
        </w:rPr>
      </w:pPr>
      <w:r>
        <w:rPr>
          <w:rFonts w:eastAsiaTheme="minorEastAsia"/>
          <w:szCs w:val="21"/>
          <w:highlight w:val="none"/>
        </w:rPr>
        <w:t>1.1.4本项目建设地点：见“供应商须知前附表”。</w:t>
      </w:r>
    </w:p>
    <w:p w14:paraId="6BB2C410">
      <w:pPr>
        <w:ind w:firstLine="422"/>
        <w:rPr>
          <w:rFonts w:eastAsiaTheme="minorEastAsia"/>
          <w:b/>
          <w:szCs w:val="21"/>
          <w:highlight w:val="none"/>
        </w:rPr>
      </w:pPr>
      <w:bookmarkStart w:id="34" w:name="_Toc389065147"/>
      <w:bookmarkStart w:id="35" w:name="_Toc512009287"/>
      <w:bookmarkStart w:id="36" w:name="_Toc511655699"/>
      <w:r>
        <w:rPr>
          <w:rFonts w:eastAsiaTheme="minorEastAsia"/>
          <w:b/>
          <w:szCs w:val="21"/>
          <w:highlight w:val="none"/>
        </w:rPr>
        <w:t>1.2资金来源和落实情况</w:t>
      </w:r>
      <w:bookmarkEnd w:id="34"/>
      <w:bookmarkEnd w:id="35"/>
      <w:bookmarkEnd w:id="36"/>
    </w:p>
    <w:p w14:paraId="44187ED1">
      <w:pPr>
        <w:ind w:firstLine="420"/>
        <w:rPr>
          <w:rFonts w:eastAsiaTheme="minorEastAsia"/>
          <w:szCs w:val="21"/>
          <w:highlight w:val="none"/>
        </w:rPr>
      </w:pPr>
      <w:r>
        <w:rPr>
          <w:rFonts w:eastAsiaTheme="minorEastAsia"/>
          <w:szCs w:val="21"/>
          <w:highlight w:val="none"/>
        </w:rPr>
        <w:t>1.2.1本项目的资金来源：见“供应商须知前附表”。</w:t>
      </w:r>
    </w:p>
    <w:p w14:paraId="7AC5EC11">
      <w:pPr>
        <w:ind w:firstLine="420"/>
        <w:rPr>
          <w:rFonts w:eastAsiaTheme="minorEastAsia"/>
          <w:szCs w:val="21"/>
          <w:highlight w:val="none"/>
        </w:rPr>
      </w:pPr>
      <w:r>
        <w:rPr>
          <w:rFonts w:eastAsiaTheme="minorEastAsia"/>
          <w:szCs w:val="21"/>
          <w:highlight w:val="none"/>
        </w:rPr>
        <w:t>1.2.2本项目的出资比例：见“供应商须知前附表”。</w:t>
      </w:r>
    </w:p>
    <w:p w14:paraId="15FE47B5">
      <w:pPr>
        <w:ind w:firstLine="420"/>
        <w:rPr>
          <w:rFonts w:eastAsiaTheme="minorEastAsia"/>
          <w:szCs w:val="21"/>
          <w:highlight w:val="none"/>
        </w:rPr>
      </w:pPr>
      <w:r>
        <w:rPr>
          <w:rFonts w:eastAsiaTheme="minorEastAsia"/>
          <w:szCs w:val="21"/>
          <w:highlight w:val="none"/>
        </w:rPr>
        <w:t>1.2.3本项目的资金落实情况：见“供应商须知前附表”；</w:t>
      </w:r>
    </w:p>
    <w:p w14:paraId="5711A439">
      <w:pPr>
        <w:ind w:firstLine="420"/>
        <w:rPr>
          <w:rFonts w:eastAsiaTheme="minorEastAsia"/>
          <w:szCs w:val="21"/>
          <w:highlight w:val="none"/>
        </w:rPr>
      </w:pPr>
      <w:r>
        <w:rPr>
          <w:rFonts w:eastAsiaTheme="minorEastAsia"/>
          <w:szCs w:val="21"/>
          <w:highlight w:val="none"/>
        </w:rPr>
        <w:t>1.2.4本项目的工程款支付方式：见“供应商须知前附表”。</w:t>
      </w:r>
    </w:p>
    <w:p w14:paraId="5AD604C2">
      <w:pPr>
        <w:ind w:firstLine="422"/>
        <w:rPr>
          <w:rFonts w:eastAsiaTheme="minorEastAsia"/>
          <w:b/>
          <w:szCs w:val="21"/>
          <w:highlight w:val="none"/>
        </w:rPr>
      </w:pPr>
      <w:bookmarkStart w:id="37" w:name="_Toc512009288"/>
      <w:bookmarkStart w:id="38" w:name="_Toc511655700"/>
      <w:r>
        <w:rPr>
          <w:rFonts w:eastAsiaTheme="minorEastAsia"/>
          <w:b/>
          <w:szCs w:val="21"/>
          <w:highlight w:val="none"/>
        </w:rPr>
        <w:t>1.3采购范围、计划工期和质量要求</w:t>
      </w:r>
      <w:bookmarkEnd w:id="37"/>
      <w:bookmarkEnd w:id="38"/>
    </w:p>
    <w:p w14:paraId="5F816F73">
      <w:pPr>
        <w:ind w:firstLine="420"/>
        <w:rPr>
          <w:rFonts w:eastAsiaTheme="minorEastAsia"/>
          <w:szCs w:val="21"/>
          <w:highlight w:val="none"/>
        </w:rPr>
      </w:pPr>
      <w:r>
        <w:rPr>
          <w:rFonts w:eastAsiaTheme="minorEastAsia"/>
          <w:szCs w:val="21"/>
          <w:highlight w:val="none"/>
        </w:rPr>
        <w:t>1.3.1本项目采购范围：见“供应商须知前附表”。</w:t>
      </w:r>
    </w:p>
    <w:p w14:paraId="039D7AFA">
      <w:pPr>
        <w:ind w:firstLine="420"/>
        <w:rPr>
          <w:rFonts w:eastAsiaTheme="minorEastAsia"/>
          <w:szCs w:val="21"/>
          <w:highlight w:val="none"/>
        </w:rPr>
      </w:pPr>
      <w:r>
        <w:rPr>
          <w:rFonts w:eastAsiaTheme="minorEastAsia"/>
          <w:szCs w:val="21"/>
          <w:highlight w:val="none"/>
        </w:rPr>
        <w:t>1.3.2本项目工期要求：见“供应商须知前附表”。</w:t>
      </w:r>
    </w:p>
    <w:p w14:paraId="4B838763">
      <w:pPr>
        <w:ind w:firstLine="420"/>
        <w:rPr>
          <w:rFonts w:eastAsiaTheme="minorEastAsia"/>
          <w:szCs w:val="21"/>
          <w:highlight w:val="none"/>
        </w:rPr>
      </w:pPr>
      <w:r>
        <w:rPr>
          <w:rFonts w:eastAsiaTheme="minorEastAsia"/>
          <w:szCs w:val="21"/>
          <w:highlight w:val="none"/>
        </w:rPr>
        <w:t>1.3.3本项目质量要求：见“供应商须知前附表”。</w:t>
      </w:r>
    </w:p>
    <w:p w14:paraId="0FEDAE25">
      <w:pPr>
        <w:ind w:firstLine="422"/>
        <w:rPr>
          <w:rFonts w:eastAsiaTheme="minorEastAsia"/>
          <w:b/>
          <w:szCs w:val="21"/>
          <w:highlight w:val="none"/>
        </w:rPr>
      </w:pPr>
      <w:bookmarkStart w:id="39" w:name="_Toc511655701"/>
      <w:bookmarkStart w:id="40" w:name="_Toc512009289"/>
      <w:r>
        <w:rPr>
          <w:rFonts w:eastAsiaTheme="minorEastAsia"/>
          <w:b/>
          <w:szCs w:val="21"/>
          <w:highlight w:val="none"/>
        </w:rPr>
        <w:t>1.4供应商资格要求</w:t>
      </w:r>
      <w:bookmarkEnd w:id="39"/>
      <w:bookmarkEnd w:id="40"/>
    </w:p>
    <w:p w14:paraId="2C3E785E">
      <w:pPr>
        <w:ind w:firstLine="420"/>
        <w:rPr>
          <w:rFonts w:eastAsiaTheme="minorEastAsia"/>
          <w:szCs w:val="21"/>
          <w:highlight w:val="none"/>
        </w:rPr>
      </w:pPr>
      <w:r>
        <w:rPr>
          <w:rFonts w:eastAsiaTheme="minorEastAsia"/>
          <w:szCs w:val="21"/>
          <w:highlight w:val="none"/>
        </w:rPr>
        <w:t>1.4.1供应商应具备承担本项目的资格要求，见谈判公告。</w:t>
      </w:r>
    </w:p>
    <w:p w14:paraId="739C6717">
      <w:pPr>
        <w:ind w:firstLine="420"/>
        <w:rPr>
          <w:rFonts w:eastAsiaTheme="minorEastAsia"/>
          <w:szCs w:val="21"/>
          <w:highlight w:val="none"/>
        </w:rPr>
      </w:pPr>
      <w:r>
        <w:rPr>
          <w:rFonts w:eastAsiaTheme="minorEastAsia"/>
          <w:szCs w:val="21"/>
          <w:highlight w:val="none"/>
        </w:rPr>
        <w:t>1.4.2“供应商须知前附表”规定接受联合体参与谈判的，除应符合本章第1.4.1项和“供应商须知前附表”的要求外，还应遵守以下规定：</w:t>
      </w:r>
    </w:p>
    <w:p w14:paraId="522BDF5B">
      <w:pPr>
        <w:ind w:firstLine="420"/>
        <w:rPr>
          <w:rFonts w:eastAsiaTheme="minorEastAsia"/>
          <w:szCs w:val="21"/>
          <w:highlight w:val="none"/>
        </w:rPr>
      </w:pPr>
      <w:r>
        <w:rPr>
          <w:rFonts w:eastAsiaTheme="minorEastAsia"/>
          <w:szCs w:val="21"/>
          <w:highlight w:val="none"/>
        </w:rPr>
        <w:t>（1）联合体各方应按谈判文件提供的格式签订联合体协议书，明确联合体牵头人和各方权利义务；</w:t>
      </w:r>
    </w:p>
    <w:p w14:paraId="78248597">
      <w:pPr>
        <w:ind w:firstLine="420"/>
        <w:rPr>
          <w:rFonts w:eastAsiaTheme="minorEastAsia"/>
          <w:szCs w:val="21"/>
          <w:highlight w:val="none"/>
        </w:rPr>
      </w:pPr>
      <w:r>
        <w:rPr>
          <w:rFonts w:eastAsiaTheme="minorEastAsia"/>
          <w:szCs w:val="21"/>
          <w:highlight w:val="none"/>
        </w:rPr>
        <w:t>（2）联合体各成员单位应当具备与联合体协议中约定的分工相适应的资质和能力；</w:t>
      </w:r>
    </w:p>
    <w:p w14:paraId="2C25E266">
      <w:pPr>
        <w:ind w:firstLine="420"/>
        <w:rPr>
          <w:rFonts w:eastAsiaTheme="minorEastAsia"/>
          <w:szCs w:val="21"/>
          <w:highlight w:val="none"/>
        </w:rPr>
      </w:pPr>
      <w:r>
        <w:rPr>
          <w:rFonts w:eastAsiaTheme="minorEastAsia"/>
          <w:szCs w:val="21"/>
          <w:highlight w:val="none"/>
        </w:rPr>
        <w:t>（3）联合体各方不得再以自己名义单独或参加其他联合体参与同一采购项目谈判活动；</w:t>
      </w:r>
    </w:p>
    <w:p w14:paraId="446B364D">
      <w:pPr>
        <w:ind w:firstLine="420"/>
        <w:rPr>
          <w:rFonts w:eastAsiaTheme="minorEastAsia"/>
          <w:szCs w:val="21"/>
          <w:highlight w:val="none"/>
        </w:rPr>
      </w:pPr>
      <w:r>
        <w:rPr>
          <w:rFonts w:eastAsiaTheme="minorEastAsia"/>
          <w:szCs w:val="21"/>
          <w:highlight w:val="none"/>
        </w:rPr>
        <w:t>（4）联合体各方必须指定牵头人，授权其代表所有联合体成员负责参与谈判和合同实施阶段的主办、协调工作，并应当向采购人提交由所有联合体成员法定代表人签署的授权书；</w:t>
      </w:r>
    </w:p>
    <w:p w14:paraId="600EFA3E">
      <w:pPr>
        <w:ind w:firstLine="420"/>
        <w:rPr>
          <w:rFonts w:eastAsiaTheme="minorEastAsia"/>
          <w:szCs w:val="21"/>
          <w:highlight w:val="none"/>
        </w:rPr>
      </w:pPr>
      <w:r>
        <w:rPr>
          <w:rFonts w:eastAsiaTheme="minorEastAsia"/>
          <w:szCs w:val="21"/>
          <w:highlight w:val="none"/>
        </w:rPr>
        <w:t>（5）采购人要求供应商提交谈判保证担保的，应当以联合体各方或者联合体中牵头人的名义提交谈判保证担保。以联合体中牵头人名义提交的谈判保证担保，对联合体各成员具有约束力。</w:t>
      </w:r>
    </w:p>
    <w:p w14:paraId="39A3074C">
      <w:pPr>
        <w:ind w:firstLine="420"/>
        <w:rPr>
          <w:rFonts w:eastAsiaTheme="minorEastAsia"/>
          <w:szCs w:val="21"/>
          <w:highlight w:val="none"/>
        </w:rPr>
      </w:pPr>
      <w:r>
        <w:rPr>
          <w:rFonts w:eastAsiaTheme="minorEastAsia"/>
          <w:szCs w:val="21"/>
          <w:highlight w:val="none"/>
        </w:rPr>
        <w:t>1.4.3供应商不得存在下列情形之一：</w:t>
      </w:r>
    </w:p>
    <w:bookmarkEnd w:id="32"/>
    <w:bookmarkEnd w:id="33"/>
    <w:p w14:paraId="3E5BC23B">
      <w:pPr>
        <w:ind w:firstLine="420"/>
        <w:rPr>
          <w:rFonts w:eastAsiaTheme="minorEastAsia"/>
          <w:color w:val="000000" w:themeColor="text1"/>
          <w:szCs w:val="21"/>
          <w:highlight w:val="none"/>
          <w14:textFill>
            <w14:solidFill>
              <w14:schemeClr w14:val="tx1"/>
            </w14:solidFill>
          </w14:textFill>
        </w:rPr>
      </w:pPr>
      <w:bookmarkStart w:id="41" w:name="_Toc389065150"/>
      <w:bookmarkStart w:id="42" w:name="_Toc520410576"/>
      <w:r>
        <w:rPr>
          <w:rFonts w:eastAsiaTheme="minorEastAsia"/>
          <w:color w:val="000000" w:themeColor="text1"/>
          <w:szCs w:val="21"/>
          <w:highlight w:val="none"/>
          <w14:textFill>
            <w14:solidFill>
              <w14:schemeClr w14:val="tx1"/>
            </w14:solidFill>
          </w14:textFill>
        </w:rPr>
        <w:t>（1）为采购人不具有独立法人资格的附属机构（单位）；</w:t>
      </w:r>
    </w:p>
    <w:p w14:paraId="6137202E">
      <w:pPr>
        <w:ind w:firstLine="420"/>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（2）为本项目的监理人、代建人、项目管理人，以及为本项目提供采购代理、设计服务的；</w:t>
      </w:r>
    </w:p>
    <w:p w14:paraId="1ADA813F">
      <w:pPr>
        <w:ind w:firstLine="420"/>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（3）与本项目的监理人、代建人、采购代理机构同为一个法定代表人的，或者相互控股、参股的；</w:t>
      </w:r>
    </w:p>
    <w:p w14:paraId="4B9CFD04">
      <w:pPr>
        <w:ind w:firstLine="420"/>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（4）与采购人存在利害关系可能影响采购公正性的；</w:t>
      </w:r>
    </w:p>
    <w:p w14:paraId="60A365F5">
      <w:pPr>
        <w:ind w:firstLine="420"/>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（5）单位负责人为同一人或者存在控股、管理关系的不同单位；</w:t>
      </w:r>
    </w:p>
    <w:p w14:paraId="778B4A3B">
      <w:pPr>
        <w:ind w:firstLine="420"/>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（6）存在同一人直接关联任职，担任股东或高管（董事长、总经理、副经理、董事、监事）的不同单位；</w:t>
      </w:r>
    </w:p>
    <w:p w14:paraId="35ABBEA8">
      <w:pPr>
        <w:ind w:firstLine="420"/>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（7）处于被责令停业、财产被接管、冻结和破产状态，以及投标（供应商）资格被取消或者被暂停且在暂停期内；</w:t>
      </w:r>
    </w:p>
    <w:p w14:paraId="18BE0B60">
      <w:pPr>
        <w:ind w:firstLine="420"/>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（8）因拖欠工人工资或者发生质量安全事故被有关部门限制在采购项目所在地承接工程的。</w:t>
      </w:r>
    </w:p>
    <w:p w14:paraId="4DC71B45">
      <w:pPr>
        <w:ind w:firstLine="420"/>
        <w:rPr>
          <w:rFonts w:eastAsiaTheme="minorEastAsia"/>
          <w:b/>
          <w:bCs/>
          <w:szCs w:val="21"/>
          <w:highlight w:val="none"/>
        </w:rPr>
      </w:pPr>
      <w:r>
        <w:rPr>
          <w:szCs w:val="21"/>
          <w:highlight w:val="none"/>
        </w:rPr>
        <w:t>（9）参与港控集团及子公司项目采购存在围串标情形且被限制参与采购活动的。</w:t>
      </w:r>
    </w:p>
    <w:p w14:paraId="6A6E0526">
      <w:pPr>
        <w:ind w:firstLine="422"/>
        <w:rPr>
          <w:rFonts w:eastAsiaTheme="minorEastAsia"/>
          <w:b/>
          <w:bCs/>
          <w:szCs w:val="21"/>
          <w:highlight w:val="none"/>
        </w:rPr>
      </w:pPr>
      <w:r>
        <w:rPr>
          <w:rFonts w:eastAsiaTheme="minorEastAsia"/>
          <w:b/>
          <w:bCs/>
          <w:szCs w:val="21"/>
          <w:highlight w:val="none"/>
        </w:rPr>
        <w:t>1.5费用承担</w:t>
      </w:r>
      <w:bookmarkEnd w:id="41"/>
      <w:bookmarkEnd w:id="42"/>
    </w:p>
    <w:p w14:paraId="19C86FE7">
      <w:pPr>
        <w:ind w:firstLine="420"/>
        <w:rPr>
          <w:rFonts w:eastAsiaTheme="minorEastAsia"/>
          <w:szCs w:val="21"/>
          <w:highlight w:val="none"/>
        </w:rPr>
      </w:pPr>
      <w:r>
        <w:rPr>
          <w:rFonts w:eastAsiaTheme="minorEastAsia"/>
          <w:szCs w:val="21"/>
          <w:highlight w:val="none"/>
        </w:rPr>
        <w:t>供应商应承担其编制响应文件以及递交响应文件过程中所涉及的一切费用，无论谈判结果如何，采购人对上述费用不负任何责任。</w:t>
      </w:r>
    </w:p>
    <w:p w14:paraId="3979B661">
      <w:pPr>
        <w:ind w:firstLine="422"/>
        <w:rPr>
          <w:rFonts w:eastAsiaTheme="minorEastAsia"/>
          <w:b/>
          <w:bCs/>
          <w:szCs w:val="21"/>
          <w:highlight w:val="none"/>
        </w:rPr>
      </w:pPr>
      <w:bookmarkStart w:id="43" w:name="_Toc389065151"/>
      <w:bookmarkStart w:id="44" w:name="_Toc520410577"/>
      <w:r>
        <w:rPr>
          <w:rFonts w:eastAsiaTheme="minorEastAsia"/>
          <w:b/>
          <w:bCs/>
          <w:szCs w:val="21"/>
          <w:highlight w:val="none"/>
        </w:rPr>
        <w:t>1.6保密</w:t>
      </w:r>
      <w:bookmarkEnd w:id="43"/>
      <w:bookmarkEnd w:id="44"/>
    </w:p>
    <w:p w14:paraId="0D566954">
      <w:pPr>
        <w:ind w:firstLine="420"/>
        <w:rPr>
          <w:rFonts w:eastAsiaTheme="minorEastAsia"/>
          <w:szCs w:val="21"/>
          <w:highlight w:val="none"/>
        </w:rPr>
      </w:pPr>
      <w:r>
        <w:rPr>
          <w:rFonts w:eastAsiaTheme="minorEastAsia"/>
          <w:szCs w:val="21"/>
          <w:highlight w:val="none"/>
        </w:rPr>
        <w:t>供应商对接收到的一切与本次谈判工作有关的电子及纸质资料包括但不限于谈判文件、报价清单、图纸、答疑等，负有保密责任，不得随意传播，对于由此产生的各种责任由供应商承担，给采购人造成损失的由供应商负责赔偿。</w:t>
      </w:r>
    </w:p>
    <w:p w14:paraId="471376EF">
      <w:pPr>
        <w:ind w:firstLine="422"/>
        <w:rPr>
          <w:rFonts w:eastAsiaTheme="minorEastAsia"/>
          <w:b/>
          <w:bCs/>
          <w:szCs w:val="21"/>
          <w:highlight w:val="none"/>
        </w:rPr>
      </w:pPr>
      <w:bookmarkStart w:id="45" w:name="_Toc389065152"/>
      <w:bookmarkStart w:id="46" w:name="_Toc520410578"/>
      <w:r>
        <w:rPr>
          <w:rFonts w:eastAsiaTheme="minorEastAsia"/>
          <w:b/>
          <w:bCs/>
          <w:szCs w:val="21"/>
          <w:highlight w:val="none"/>
        </w:rPr>
        <w:t>1.7语言文字</w:t>
      </w:r>
      <w:bookmarkEnd w:id="45"/>
      <w:bookmarkEnd w:id="46"/>
    </w:p>
    <w:p w14:paraId="50C68A3C">
      <w:pPr>
        <w:ind w:firstLine="420"/>
        <w:rPr>
          <w:rFonts w:eastAsiaTheme="minorEastAsia"/>
          <w:szCs w:val="21"/>
          <w:highlight w:val="none"/>
        </w:rPr>
      </w:pPr>
      <w:r>
        <w:rPr>
          <w:rFonts w:eastAsiaTheme="minorEastAsia"/>
          <w:szCs w:val="21"/>
          <w:highlight w:val="none"/>
        </w:rPr>
        <w:t>除专用术语外，与谈判有关的语言均使用中文，必要时专用术语应附有中文注释。</w:t>
      </w:r>
    </w:p>
    <w:p w14:paraId="6BB210B6">
      <w:pPr>
        <w:ind w:firstLine="422"/>
        <w:rPr>
          <w:rFonts w:eastAsiaTheme="minorEastAsia"/>
          <w:b/>
          <w:bCs/>
          <w:szCs w:val="21"/>
          <w:highlight w:val="none"/>
        </w:rPr>
      </w:pPr>
      <w:bookmarkStart w:id="47" w:name="_Toc389065153"/>
      <w:bookmarkStart w:id="48" w:name="_Toc520410579"/>
      <w:r>
        <w:rPr>
          <w:rFonts w:eastAsiaTheme="minorEastAsia"/>
          <w:b/>
          <w:bCs/>
          <w:szCs w:val="21"/>
          <w:highlight w:val="none"/>
        </w:rPr>
        <w:t>1.8计量单位</w:t>
      </w:r>
      <w:bookmarkEnd w:id="47"/>
      <w:bookmarkEnd w:id="48"/>
    </w:p>
    <w:p w14:paraId="29380C0E">
      <w:pPr>
        <w:ind w:firstLine="420"/>
        <w:rPr>
          <w:rFonts w:eastAsiaTheme="minorEastAsia"/>
          <w:szCs w:val="21"/>
          <w:highlight w:val="none"/>
        </w:rPr>
      </w:pPr>
      <w:r>
        <w:rPr>
          <w:rFonts w:eastAsiaTheme="minorEastAsia"/>
          <w:szCs w:val="21"/>
          <w:highlight w:val="none"/>
        </w:rPr>
        <w:t>所有计量均采用中华人民共和国法定计量单位。</w:t>
      </w:r>
    </w:p>
    <w:p w14:paraId="66334B54">
      <w:pPr>
        <w:ind w:firstLine="422"/>
        <w:rPr>
          <w:rFonts w:eastAsiaTheme="minorEastAsia"/>
          <w:b/>
          <w:bCs/>
          <w:szCs w:val="21"/>
          <w:highlight w:val="none"/>
        </w:rPr>
      </w:pPr>
      <w:bookmarkStart w:id="49" w:name="_Toc389065154"/>
      <w:bookmarkStart w:id="50" w:name="_Toc520410580"/>
      <w:r>
        <w:rPr>
          <w:rFonts w:eastAsiaTheme="minorEastAsia"/>
          <w:b/>
          <w:bCs/>
          <w:szCs w:val="21"/>
          <w:highlight w:val="none"/>
        </w:rPr>
        <w:t>1.9踏勘现场</w:t>
      </w:r>
      <w:bookmarkEnd w:id="49"/>
      <w:bookmarkEnd w:id="50"/>
    </w:p>
    <w:p w14:paraId="58DDB1FA">
      <w:pPr>
        <w:ind w:firstLine="420"/>
        <w:rPr>
          <w:rFonts w:eastAsiaTheme="minorEastAsia"/>
          <w:szCs w:val="21"/>
          <w:highlight w:val="none"/>
        </w:rPr>
      </w:pPr>
      <w:r>
        <w:rPr>
          <w:rFonts w:eastAsiaTheme="minorEastAsia"/>
          <w:szCs w:val="21"/>
          <w:highlight w:val="none"/>
        </w:rPr>
        <w:t>1.9.1供应商根据需要自行踏勘项目现场。</w:t>
      </w:r>
    </w:p>
    <w:p w14:paraId="4C01A334">
      <w:pPr>
        <w:ind w:firstLine="420"/>
        <w:rPr>
          <w:rFonts w:eastAsiaTheme="minorEastAsia"/>
          <w:szCs w:val="21"/>
          <w:highlight w:val="none"/>
        </w:rPr>
      </w:pPr>
      <w:r>
        <w:rPr>
          <w:rFonts w:eastAsiaTheme="minorEastAsia"/>
          <w:szCs w:val="21"/>
          <w:highlight w:val="none"/>
        </w:rPr>
        <w:t>1.9.2供应商踏勘现场发生的费用自理。</w:t>
      </w:r>
    </w:p>
    <w:p w14:paraId="75DEE47E">
      <w:pPr>
        <w:ind w:firstLine="420"/>
        <w:rPr>
          <w:rFonts w:eastAsiaTheme="minorEastAsia"/>
          <w:szCs w:val="21"/>
          <w:highlight w:val="none"/>
        </w:rPr>
      </w:pPr>
      <w:r>
        <w:rPr>
          <w:rFonts w:eastAsiaTheme="minorEastAsia"/>
          <w:szCs w:val="21"/>
          <w:highlight w:val="none"/>
        </w:rPr>
        <w:t>1.9.3供应商自行负责在踏勘现场中所发生的人员伤亡和财产损失。</w:t>
      </w:r>
    </w:p>
    <w:p w14:paraId="02F0B77A">
      <w:pPr>
        <w:ind w:firstLine="422"/>
        <w:rPr>
          <w:rFonts w:eastAsiaTheme="minorEastAsia"/>
          <w:b/>
          <w:bCs/>
          <w:szCs w:val="21"/>
          <w:highlight w:val="none"/>
        </w:rPr>
      </w:pPr>
      <w:bookmarkStart w:id="51" w:name="_Toc520410581"/>
      <w:bookmarkStart w:id="52" w:name="_Toc389065156"/>
      <w:r>
        <w:rPr>
          <w:rFonts w:eastAsiaTheme="minorEastAsia"/>
          <w:b/>
          <w:bCs/>
          <w:szCs w:val="21"/>
          <w:highlight w:val="none"/>
        </w:rPr>
        <w:t>1.10分包</w:t>
      </w:r>
      <w:bookmarkEnd w:id="51"/>
      <w:bookmarkEnd w:id="52"/>
    </w:p>
    <w:p w14:paraId="67BB86FA">
      <w:pPr>
        <w:ind w:firstLine="420"/>
        <w:rPr>
          <w:rFonts w:eastAsiaTheme="minorEastAsia"/>
          <w:szCs w:val="21"/>
          <w:highlight w:val="none"/>
        </w:rPr>
      </w:pPr>
      <w:bookmarkStart w:id="53" w:name="_Toc389065198"/>
      <w:bookmarkStart w:id="54" w:name="_Toc520410582"/>
      <w:r>
        <w:rPr>
          <w:rFonts w:eastAsiaTheme="minorEastAsia"/>
          <w:szCs w:val="21"/>
          <w:highlight w:val="none"/>
        </w:rPr>
        <w:t>本项目成交后分包需经采购人书面同意。</w:t>
      </w:r>
    </w:p>
    <w:p w14:paraId="203625DA">
      <w:pPr>
        <w:ind w:firstLine="422"/>
        <w:rPr>
          <w:rFonts w:eastAsiaTheme="minorEastAsia"/>
          <w:b/>
          <w:bCs/>
          <w:szCs w:val="21"/>
          <w:highlight w:val="none"/>
        </w:rPr>
      </w:pPr>
      <w:r>
        <w:rPr>
          <w:rFonts w:eastAsiaTheme="minorEastAsia"/>
          <w:b/>
          <w:bCs/>
          <w:szCs w:val="21"/>
          <w:highlight w:val="none"/>
        </w:rPr>
        <w:t>1.11知识产权</w:t>
      </w:r>
      <w:bookmarkEnd w:id="53"/>
      <w:bookmarkEnd w:id="54"/>
    </w:p>
    <w:p w14:paraId="5856DE6E">
      <w:pPr>
        <w:ind w:firstLine="420"/>
        <w:rPr>
          <w:rFonts w:eastAsiaTheme="minorEastAsia"/>
          <w:szCs w:val="21"/>
          <w:highlight w:val="none"/>
        </w:rPr>
      </w:pPr>
      <w:r>
        <w:rPr>
          <w:rFonts w:eastAsiaTheme="minorEastAsia"/>
          <w:szCs w:val="21"/>
          <w:highlight w:val="none"/>
        </w:rPr>
        <w:t>构成本谈判文件各个组成部分的文件，未经采购人书面同意，供应商不得擅自复印和用于非本谈判项目所需的其他目的。采购人全部或者部分使用非成交供应商响应文件中的技术成果或技术方案时，需征得其书面同意，并不得擅自复印或提供给第三人。</w:t>
      </w:r>
    </w:p>
    <w:p w14:paraId="17A011AF">
      <w:pPr>
        <w:pStyle w:val="5"/>
        <w:spacing w:before="0" w:after="0" w:line="400" w:lineRule="exact"/>
        <w:ind w:firstLine="0" w:firstLineChars="0"/>
        <w:rPr>
          <w:rFonts w:ascii="Times New Roman" w:hAnsi="Times New Roman" w:eastAsiaTheme="minorEastAsia"/>
          <w:sz w:val="21"/>
          <w:szCs w:val="21"/>
          <w:highlight w:val="none"/>
        </w:rPr>
      </w:pPr>
      <w:bookmarkStart w:id="55" w:name="_Toc12904"/>
      <w:bookmarkStart w:id="56" w:name="_Toc520410583"/>
      <w:bookmarkStart w:id="57" w:name="_Toc30250"/>
      <w:bookmarkStart w:id="58" w:name="_Toc27767"/>
      <w:r>
        <w:rPr>
          <w:rFonts w:ascii="Times New Roman" w:hAnsi="Times New Roman" w:eastAsiaTheme="minorEastAsia"/>
          <w:sz w:val="21"/>
          <w:szCs w:val="21"/>
          <w:highlight w:val="none"/>
        </w:rPr>
        <w:t>二、谈判文件</w:t>
      </w:r>
      <w:bookmarkEnd w:id="55"/>
      <w:bookmarkEnd w:id="56"/>
      <w:bookmarkEnd w:id="57"/>
      <w:bookmarkEnd w:id="58"/>
    </w:p>
    <w:p w14:paraId="72D31361">
      <w:pPr>
        <w:ind w:firstLine="422"/>
        <w:rPr>
          <w:rFonts w:eastAsiaTheme="minorEastAsia"/>
          <w:b/>
          <w:bCs/>
          <w:szCs w:val="21"/>
          <w:highlight w:val="none"/>
        </w:rPr>
      </w:pPr>
      <w:bookmarkStart w:id="59" w:name="_Toc520410584"/>
      <w:bookmarkStart w:id="60" w:name="_Toc389065159"/>
      <w:r>
        <w:rPr>
          <w:rFonts w:eastAsiaTheme="minorEastAsia"/>
          <w:b/>
          <w:bCs/>
          <w:szCs w:val="21"/>
          <w:highlight w:val="none"/>
        </w:rPr>
        <w:t>2.1谈判文件的组成</w:t>
      </w:r>
      <w:bookmarkEnd w:id="59"/>
      <w:bookmarkEnd w:id="60"/>
    </w:p>
    <w:p w14:paraId="269B61E8">
      <w:pPr>
        <w:ind w:firstLine="420"/>
        <w:rPr>
          <w:rFonts w:eastAsiaTheme="minorEastAsia"/>
          <w:color w:val="000000" w:themeColor="text1"/>
          <w:szCs w:val="21"/>
          <w:highlight w:val="none"/>
          <w14:textFill>
            <w14:solidFill>
              <w14:schemeClr w14:val="tx1"/>
            </w14:solidFill>
          </w14:textFill>
        </w:rPr>
      </w:pPr>
      <w:r>
        <w:rPr>
          <w:rFonts w:eastAsiaTheme="minorEastAsia"/>
          <w:szCs w:val="21"/>
          <w:highlight w:val="none"/>
        </w:rPr>
        <w:t>2.1.1</w:t>
      </w:r>
      <w:r>
        <w:rPr>
          <w:rFonts w:eastAsiaTheme="minorEastAsia"/>
          <w:color w:val="000000" w:themeColor="text1"/>
          <w:szCs w:val="21"/>
          <w:highlight w:val="none"/>
          <w14:textFill>
            <w14:solidFill>
              <w14:schemeClr w14:val="tx1"/>
            </w14:solidFill>
          </w14:textFill>
        </w:rPr>
        <w:t>本谈判文件包括：</w:t>
      </w:r>
    </w:p>
    <w:p w14:paraId="3207C9E3">
      <w:pPr>
        <w:ind w:firstLine="420"/>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（1）竞争性谈判公告；</w:t>
      </w:r>
    </w:p>
    <w:p w14:paraId="6FD8E3AD">
      <w:pPr>
        <w:ind w:firstLine="420"/>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（2）供应商须知；</w:t>
      </w:r>
    </w:p>
    <w:p w14:paraId="6EA3585C">
      <w:pPr>
        <w:ind w:firstLine="420"/>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（3）评审办法；</w:t>
      </w:r>
    </w:p>
    <w:p w14:paraId="0B81ACA6">
      <w:pPr>
        <w:ind w:firstLine="420"/>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（4）合同条款及格式；</w:t>
      </w:r>
    </w:p>
    <w:p w14:paraId="08C90D16">
      <w:pPr>
        <w:ind w:firstLine="420"/>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（5）任务书；</w:t>
      </w:r>
    </w:p>
    <w:p w14:paraId="2407C1FC">
      <w:pPr>
        <w:ind w:firstLine="420"/>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（6）响应文件格式；</w:t>
      </w:r>
    </w:p>
    <w:p w14:paraId="58A9B4D7">
      <w:pPr>
        <w:ind w:firstLine="420"/>
        <w:rPr>
          <w:highlight w:val="none"/>
        </w:rPr>
      </w:pPr>
      <w:r>
        <w:rPr>
          <w:rFonts w:eastAsiaTheme="minorEastAsia"/>
          <w:color w:val="000000" w:themeColor="text1"/>
          <w:szCs w:val="21"/>
          <w:highlight w:val="none"/>
          <w14:textFill>
            <w14:solidFill>
              <w14:schemeClr w14:val="tx1"/>
            </w14:solidFill>
          </w14:textFill>
        </w:rPr>
        <w:t>（7）“供应商须知前附表”规定的其他材料。</w:t>
      </w:r>
    </w:p>
    <w:p w14:paraId="018B8336">
      <w:pPr>
        <w:ind w:firstLine="420"/>
        <w:rPr>
          <w:rFonts w:eastAsiaTheme="minorEastAsia"/>
          <w:szCs w:val="21"/>
          <w:highlight w:val="none"/>
        </w:rPr>
      </w:pPr>
      <w:r>
        <w:rPr>
          <w:rFonts w:eastAsiaTheme="minorEastAsia"/>
          <w:szCs w:val="21"/>
          <w:highlight w:val="none"/>
        </w:rPr>
        <w:t>2.1.2根据本章第2.2款和第2.3款对谈判文件所作的澄清、修改，构成谈判文件的组成部分。谈判文件的澄清、修改内容前后相互矛盾时，以发布时间在后的文件为准。</w:t>
      </w:r>
    </w:p>
    <w:p w14:paraId="60355FB2">
      <w:pPr>
        <w:ind w:firstLine="422"/>
        <w:rPr>
          <w:rFonts w:eastAsiaTheme="minorEastAsia"/>
          <w:b/>
          <w:bCs/>
          <w:szCs w:val="21"/>
          <w:highlight w:val="none"/>
        </w:rPr>
      </w:pPr>
      <w:bookmarkStart w:id="61" w:name="_Toc389065160"/>
      <w:bookmarkStart w:id="62" w:name="_Toc520410585"/>
      <w:r>
        <w:rPr>
          <w:rFonts w:eastAsiaTheme="minorEastAsia"/>
          <w:b/>
          <w:bCs/>
          <w:szCs w:val="21"/>
          <w:highlight w:val="none"/>
        </w:rPr>
        <w:t>2.2谈判文件的澄清</w:t>
      </w:r>
      <w:bookmarkEnd w:id="61"/>
      <w:bookmarkEnd w:id="62"/>
    </w:p>
    <w:p w14:paraId="7AA50887">
      <w:pPr>
        <w:ind w:firstLine="420"/>
        <w:rPr>
          <w:rFonts w:eastAsiaTheme="minorEastAsia"/>
          <w:szCs w:val="21"/>
          <w:highlight w:val="none"/>
        </w:rPr>
      </w:pPr>
      <w:r>
        <w:rPr>
          <w:rFonts w:eastAsiaTheme="minorEastAsia"/>
          <w:szCs w:val="21"/>
          <w:highlight w:val="none"/>
        </w:rPr>
        <w:t>2.2.1供应商应仔细阅读和检查谈判文件的全部内容，供应商如有疑问，应在响应文件递交截止时间2日前向采购人提出</w:t>
      </w:r>
      <w:r>
        <w:rPr>
          <w:rFonts w:hint="eastAsia" w:eastAsiaTheme="minorEastAsia"/>
          <w:szCs w:val="21"/>
          <w:highlight w:val="none"/>
        </w:rPr>
        <w:t>，</w:t>
      </w:r>
      <w:r>
        <w:rPr>
          <w:rFonts w:eastAsiaTheme="minorEastAsia"/>
          <w:szCs w:val="21"/>
          <w:highlight w:val="none"/>
        </w:rPr>
        <w:t>供应商不在澄清期限内提出，采购人有权不予答复。</w:t>
      </w:r>
    </w:p>
    <w:p w14:paraId="284518AF">
      <w:pPr>
        <w:ind w:firstLine="420"/>
        <w:rPr>
          <w:rFonts w:eastAsiaTheme="minorEastAsia"/>
          <w:szCs w:val="21"/>
          <w:highlight w:val="none"/>
        </w:rPr>
      </w:pPr>
      <w:r>
        <w:rPr>
          <w:rFonts w:eastAsiaTheme="minorEastAsia"/>
          <w:szCs w:val="21"/>
          <w:highlight w:val="none"/>
        </w:rPr>
        <w:t>2.2.2澄清的内容可能影响响应文件编制的，可根据实际情况适当延迟递交响应文件的截止时间。</w:t>
      </w:r>
    </w:p>
    <w:p w14:paraId="7DD0ABF1">
      <w:pPr>
        <w:ind w:firstLine="420"/>
        <w:rPr>
          <w:rFonts w:eastAsiaTheme="minorEastAsia"/>
          <w:szCs w:val="21"/>
          <w:highlight w:val="none"/>
        </w:rPr>
      </w:pPr>
      <w:r>
        <w:rPr>
          <w:rFonts w:eastAsiaTheme="minorEastAsia"/>
          <w:szCs w:val="21"/>
          <w:highlight w:val="none"/>
        </w:rPr>
        <w:t>2.2.3供应商应在递交响应文件的截止时间前随时查看“徐圩新区公共资源交易服务平台中有关该谈判文件的澄清答疑内容”。未按照澄清后的谈判文件编制响应文件，由此造成的后果由供应商自行承担。</w:t>
      </w:r>
    </w:p>
    <w:p w14:paraId="4961297F">
      <w:pPr>
        <w:ind w:firstLine="422"/>
        <w:rPr>
          <w:rFonts w:eastAsiaTheme="minorEastAsia"/>
          <w:b/>
          <w:bCs/>
          <w:szCs w:val="21"/>
          <w:highlight w:val="none"/>
        </w:rPr>
      </w:pPr>
      <w:bookmarkStart w:id="63" w:name="_Toc520410586"/>
      <w:bookmarkStart w:id="64" w:name="_Toc389065161"/>
      <w:r>
        <w:rPr>
          <w:rFonts w:eastAsiaTheme="minorEastAsia"/>
          <w:b/>
          <w:bCs/>
          <w:szCs w:val="21"/>
          <w:highlight w:val="none"/>
        </w:rPr>
        <w:t>2.3谈判文件的修改</w:t>
      </w:r>
      <w:bookmarkEnd w:id="63"/>
      <w:bookmarkEnd w:id="64"/>
    </w:p>
    <w:p w14:paraId="2F81CB2C">
      <w:pPr>
        <w:ind w:firstLine="420"/>
        <w:rPr>
          <w:rFonts w:eastAsiaTheme="minorEastAsia"/>
          <w:szCs w:val="21"/>
          <w:highlight w:val="none"/>
        </w:rPr>
      </w:pPr>
      <w:r>
        <w:rPr>
          <w:rFonts w:eastAsiaTheme="minorEastAsia"/>
          <w:szCs w:val="21"/>
          <w:highlight w:val="none"/>
        </w:rPr>
        <w:t>2.3.1谈判文件发布后，采购人确需对谈判文件进行修改的，采购人将发布在“徐圩新区公共资源交易服务平台”。</w:t>
      </w:r>
    </w:p>
    <w:p w14:paraId="215C2F41">
      <w:pPr>
        <w:ind w:firstLine="420"/>
        <w:rPr>
          <w:rFonts w:eastAsiaTheme="minorEastAsia"/>
          <w:szCs w:val="21"/>
          <w:highlight w:val="none"/>
        </w:rPr>
      </w:pPr>
      <w:r>
        <w:rPr>
          <w:rFonts w:eastAsiaTheme="minorEastAsia"/>
          <w:szCs w:val="21"/>
          <w:highlight w:val="none"/>
        </w:rPr>
        <w:t>2.3.2修改的内容可能影响响应文件编制的，可根据实际情况适当延迟递交响应文件的截止时间。</w:t>
      </w:r>
    </w:p>
    <w:p w14:paraId="688D830A">
      <w:pPr>
        <w:ind w:firstLine="420"/>
        <w:rPr>
          <w:rFonts w:eastAsiaTheme="minorEastAsia"/>
          <w:szCs w:val="21"/>
          <w:highlight w:val="none"/>
        </w:rPr>
      </w:pPr>
      <w:r>
        <w:rPr>
          <w:rFonts w:eastAsiaTheme="minorEastAsia"/>
          <w:szCs w:val="21"/>
          <w:highlight w:val="none"/>
        </w:rPr>
        <w:t>2.3.3</w:t>
      </w:r>
      <w:r>
        <w:rPr>
          <w:rFonts w:eastAsiaTheme="minorEastAsia"/>
          <w:color w:val="000000" w:themeColor="text1"/>
          <w:szCs w:val="21"/>
          <w:highlight w:val="none"/>
          <w14:textFill>
            <w14:solidFill>
              <w14:schemeClr w14:val="tx1"/>
            </w14:solidFill>
          </w14:textFill>
        </w:rPr>
        <w:t>修改文件按本章第2.3.1款规定发出之时起，视为供应商已收到该修改文件。供应商未及时查阅谈判文件的修改，或未按照修改后的谈判文件编制响应文件，由此造成的后果由供应商自行承担。</w:t>
      </w:r>
    </w:p>
    <w:p w14:paraId="17E8F9D7">
      <w:pPr>
        <w:ind w:firstLine="422"/>
        <w:rPr>
          <w:rFonts w:eastAsiaTheme="minorEastAsia"/>
          <w:b/>
          <w:bCs/>
          <w:szCs w:val="21"/>
          <w:highlight w:val="none"/>
        </w:rPr>
      </w:pPr>
      <w:bookmarkStart w:id="65" w:name="_Toc473034303"/>
      <w:bookmarkStart w:id="66" w:name="_Toc520410587"/>
      <w:r>
        <w:rPr>
          <w:rFonts w:eastAsiaTheme="minorEastAsia"/>
          <w:b/>
          <w:bCs/>
          <w:szCs w:val="21"/>
          <w:highlight w:val="none"/>
        </w:rPr>
        <w:t>2.4</w:t>
      </w:r>
      <w:bookmarkEnd w:id="65"/>
      <w:bookmarkEnd w:id="66"/>
      <w:r>
        <w:rPr>
          <w:rFonts w:eastAsiaTheme="minorEastAsia"/>
          <w:b/>
          <w:bCs/>
          <w:szCs w:val="21"/>
          <w:highlight w:val="none"/>
        </w:rPr>
        <w:t>采购控制价</w:t>
      </w:r>
    </w:p>
    <w:p w14:paraId="5FC57376">
      <w:pPr>
        <w:ind w:firstLine="420"/>
        <w:rPr>
          <w:rFonts w:eastAsiaTheme="minorEastAsia"/>
          <w:szCs w:val="21"/>
          <w:highlight w:val="none"/>
        </w:rPr>
      </w:pPr>
      <w:r>
        <w:rPr>
          <w:rFonts w:eastAsiaTheme="minorEastAsia"/>
          <w:szCs w:val="21"/>
          <w:highlight w:val="none"/>
        </w:rPr>
        <w:t>2.4.1采购控制价，是采购人根据国家或省级、行业主管部门颁发的有关计价依据和办法，以及采购内容的市场行情，结合采购项目具体情况编制的本次谈判的最高限价。</w:t>
      </w:r>
    </w:p>
    <w:p w14:paraId="34EB6536">
      <w:pPr>
        <w:ind w:firstLine="420"/>
        <w:rPr>
          <w:rFonts w:eastAsiaTheme="minorEastAsia"/>
          <w:szCs w:val="21"/>
          <w:highlight w:val="none"/>
        </w:rPr>
      </w:pPr>
      <w:r>
        <w:rPr>
          <w:rFonts w:eastAsiaTheme="minorEastAsia"/>
          <w:szCs w:val="21"/>
          <w:highlight w:val="none"/>
        </w:rPr>
        <w:t>2.4.2本项目采购控制价见“竞争性谈判公告”。采购人确需对已发布的项目概算金额进行修改的，采购人将发布在“徐圩新区公共资源交易服务平台”。</w:t>
      </w:r>
    </w:p>
    <w:p w14:paraId="45969F4F">
      <w:pPr>
        <w:pStyle w:val="5"/>
        <w:spacing w:before="0" w:after="0" w:line="400" w:lineRule="exact"/>
        <w:ind w:firstLine="0" w:firstLineChars="0"/>
        <w:rPr>
          <w:rFonts w:ascii="Times New Roman" w:hAnsi="Times New Roman" w:eastAsiaTheme="minorEastAsia"/>
          <w:sz w:val="21"/>
          <w:szCs w:val="21"/>
          <w:highlight w:val="none"/>
        </w:rPr>
      </w:pPr>
      <w:bookmarkStart w:id="67" w:name="_Toc389065162"/>
      <w:bookmarkStart w:id="68" w:name="_Toc520410588"/>
      <w:bookmarkStart w:id="69" w:name="_Toc19856"/>
      <w:bookmarkStart w:id="70" w:name="_Toc25849"/>
      <w:bookmarkStart w:id="71" w:name="_Toc27443"/>
      <w:r>
        <w:rPr>
          <w:rFonts w:ascii="Times New Roman" w:hAnsi="Times New Roman" w:eastAsiaTheme="minorEastAsia"/>
          <w:sz w:val="21"/>
          <w:szCs w:val="21"/>
          <w:highlight w:val="none"/>
        </w:rPr>
        <w:t>三、响应文件</w:t>
      </w:r>
      <w:bookmarkEnd w:id="67"/>
      <w:bookmarkEnd w:id="68"/>
      <w:bookmarkEnd w:id="69"/>
      <w:bookmarkEnd w:id="70"/>
      <w:bookmarkEnd w:id="71"/>
    </w:p>
    <w:p w14:paraId="3E6A799C">
      <w:pPr>
        <w:ind w:firstLine="422"/>
        <w:rPr>
          <w:rFonts w:eastAsiaTheme="minorEastAsia"/>
          <w:b/>
          <w:bCs/>
          <w:szCs w:val="21"/>
          <w:highlight w:val="none"/>
        </w:rPr>
      </w:pPr>
      <w:bookmarkStart w:id="72" w:name="_Toc389065163"/>
      <w:bookmarkStart w:id="73" w:name="_Toc520410589"/>
      <w:r>
        <w:rPr>
          <w:rFonts w:eastAsiaTheme="minorEastAsia"/>
          <w:b/>
          <w:bCs/>
          <w:szCs w:val="21"/>
          <w:highlight w:val="none"/>
        </w:rPr>
        <w:t>3.1响应文件的组成</w:t>
      </w:r>
      <w:bookmarkEnd w:id="72"/>
      <w:bookmarkEnd w:id="73"/>
    </w:p>
    <w:p w14:paraId="15C81C55">
      <w:pPr>
        <w:ind w:firstLine="420"/>
        <w:rPr>
          <w:rFonts w:eastAsiaTheme="minorEastAsia"/>
          <w:b/>
          <w:szCs w:val="21"/>
          <w:highlight w:val="none"/>
        </w:rPr>
      </w:pPr>
      <w:r>
        <w:rPr>
          <w:rFonts w:eastAsiaTheme="minorEastAsia"/>
          <w:szCs w:val="21"/>
          <w:highlight w:val="none"/>
        </w:rPr>
        <w:t>3.1.1响应文件组成见“供应商须知前附表”；</w:t>
      </w:r>
    </w:p>
    <w:p w14:paraId="38F3A75F">
      <w:pPr>
        <w:ind w:firstLine="420"/>
        <w:rPr>
          <w:rFonts w:eastAsiaTheme="minorEastAsia"/>
          <w:szCs w:val="21"/>
          <w:highlight w:val="none"/>
        </w:rPr>
      </w:pPr>
      <w:r>
        <w:rPr>
          <w:rFonts w:eastAsiaTheme="minorEastAsia"/>
          <w:szCs w:val="21"/>
          <w:highlight w:val="none"/>
        </w:rPr>
        <w:t>3.1.2谈判文件“第六章响应文件格式”有规定格式要求的，供应商应按规定的格式填写并按要求提交相关的证明材料。</w:t>
      </w:r>
    </w:p>
    <w:p w14:paraId="7668ADB7">
      <w:pPr>
        <w:ind w:firstLine="422"/>
        <w:rPr>
          <w:rFonts w:eastAsiaTheme="minorEastAsia"/>
          <w:b/>
          <w:bCs/>
          <w:szCs w:val="21"/>
          <w:highlight w:val="none"/>
        </w:rPr>
      </w:pPr>
      <w:bookmarkStart w:id="74" w:name="_Toc389065164"/>
      <w:bookmarkStart w:id="75" w:name="_Toc520410590"/>
      <w:r>
        <w:rPr>
          <w:rFonts w:eastAsiaTheme="minorEastAsia"/>
          <w:b/>
          <w:bCs/>
          <w:szCs w:val="21"/>
          <w:highlight w:val="none"/>
        </w:rPr>
        <w:t>3.2谈判报价</w:t>
      </w:r>
      <w:bookmarkEnd w:id="74"/>
      <w:bookmarkEnd w:id="75"/>
    </w:p>
    <w:p w14:paraId="07DCA1B7">
      <w:pPr>
        <w:spacing w:line="420" w:lineRule="exact"/>
        <w:ind w:firstLine="420"/>
        <w:jc w:val="both"/>
        <w:rPr>
          <w:b/>
          <w:bCs/>
          <w:color w:val="000000"/>
          <w:szCs w:val="21"/>
          <w:highlight w:val="none"/>
        </w:rPr>
      </w:pPr>
      <w:r>
        <w:rPr>
          <w:rFonts w:eastAsiaTheme="minorEastAsia"/>
          <w:szCs w:val="21"/>
          <w:highlight w:val="none"/>
        </w:rPr>
        <w:t>3.2.1本项目</w:t>
      </w:r>
      <w:r>
        <w:rPr>
          <w:color w:val="000000"/>
          <w:szCs w:val="21"/>
          <w:highlight w:val="none"/>
        </w:rPr>
        <w:t>采用</w:t>
      </w:r>
      <w:r>
        <w:rPr>
          <w:rFonts w:hint="eastAsia"/>
          <w:b/>
          <w:szCs w:val="21"/>
          <w:highlight w:val="none"/>
          <w:u w:val="single"/>
        </w:rPr>
        <w:t>固定</w:t>
      </w:r>
      <w:r>
        <w:rPr>
          <w:rFonts w:hint="eastAsia"/>
          <w:b/>
          <w:szCs w:val="21"/>
          <w:highlight w:val="none"/>
          <w:u w:val="single"/>
          <w:lang w:val="en-US" w:eastAsia="zh-CN"/>
        </w:rPr>
        <w:t>总价</w:t>
      </w:r>
      <w:r>
        <w:rPr>
          <w:color w:val="000000"/>
          <w:szCs w:val="21"/>
          <w:highlight w:val="none"/>
        </w:rPr>
        <w:t>计价，</w:t>
      </w:r>
      <w:r>
        <w:rPr>
          <w:szCs w:val="21"/>
          <w:highlight w:val="none"/>
        </w:rPr>
        <w:t>供应商应充分考虑项目实施期间的市场风险和国家政策性调整风险系数计入报价，并根据本项目和供应商的自身情况，一次性地报出本项目详细地、完整地报价</w:t>
      </w:r>
      <w:r>
        <w:rPr>
          <w:bCs/>
          <w:szCs w:val="21"/>
          <w:highlight w:val="none"/>
        </w:rPr>
        <w:t>。供应商未作相应报价的，将被视为供应商已经在报价中作了相应的考虑，无论出现何种情况，成交价在经过确定后，结算时将不作调整。</w:t>
      </w:r>
      <w:r>
        <w:rPr>
          <w:b/>
          <w:bCs/>
          <w:color w:val="000000"/>
          <w:szCs w:val="21"/>
          <w:highlight w:val="none"/>
        </w:rPr>
        <w:t>本次报价</w:t>
      </w:r>
      <w:r>
        <w:rPr>
          <w:rFonts w:hint="eastAsia"/>
          <w:b/>
          <w:bCs/>
          <w:color w:val="000000"/>
          <w:szCs w:val="21"/>
          <w:highlight w:val="none"/>
        </w:rPr>
        <w:t>包括但不限于保费、增值税专票等一切费用，采购人不再支付另外任何费用。</w:t>
      </w:r>
      <w:r>
        <w:rPr>
          <w:b/>
          <w:szCs w:val="21"/>
          <w:highlight w:val="none"/>
        </w:rPr>
        <w:t>本次报价包含采购代理服务费、响应文件评审专家费。</w:t>
      </w:r>
    </w:p>
    <w:p w14:paraId="41BF9D91">
      <w:pPr>
        <w:shd w:val="clear"/>
        <w:wordWrap w:val="0"/>
        <w:spacing w:line="420" w:lineRule="exact"/>
        <w:ind w:firstLine="422"/>
        <w:jc w:val="left"/>
        <w:rPr>
          <w:rFonts w:eastAsiaTheme="minorEastAsia"/>
          <w:b/>
          <w:color w:val="0000FF"/>
          <w:szCs w:val="21"/>
          <w:highlight w:val="none"/>
        </w:rPr>
      </w:pPr>
      <w:r>
        <w:rPr>
          <w:b/>
          <w:color w:val="0000FF"/>
          <w:szCs w:val="21"/>
          <w:highlight w:val="none"/>
        </w:rPr>
        <w:t>注：本项目采购代理服务费、响应文件评审专家费等共计</w:t>
      </w:r>
      <w:r>
        <w:rPr>
          <w:rFonts w:hint="eastAsia"/>
          <w:b/>
          <w:color w:val="0000FF"/>
          <w:szCs w:val="21"/>
          <w:highlight w:val="none"/>
          <w:u w:val="single"/>
        </w:rPr>
        <w:t xml:space="preserve"> 3600 </w:t>
      </w:r>
      <w:r>
        <w:rPr>
          <w:b/>
          <w:color w:val="0000FF"/>
          <w:szCs w:val="21"/>
          <w:highlight w:val="none"/>
        </w:rPr>
        <w:t>元</w:t>
      </w:r>
      <w:r>
        <w:rPr>
          <w:rFonts w:hint="eastAsia" w:ascii="Times New Roman" w:hAnsi="Times New Roman"/>
          <w:b/>
          <w:color w:val="0000FF"/>
          <w:szCs w:val="21"/>
          <w:highlight w:val="none"/>
        </w:rPr>
        <w:t>（其中600元为评审专家费，不予开票）</w:t>
      </w:r>
      <w:r>
        <w:rPr>
          <w:b/>
          <w:color w:val="0000FF"/>
          <w:szCs w:val="21"/>
          <w:highlight w:val="none"/>
        </w:rPr>
        <w:t>，此费用包含在</w:t>
      </w:r>
      <w:r>
        <w:rPr>
          <w:rFonts w:hint="eastAsia"/>
          <w:b/>
          <w:color w:val="0000FF"/>
          <w:szCs w:val="21"/>
          <w:highlight w:val="none"/>
        </w:rPr>
        <w:t>谈判</w:t>
      </w:r>
      <w:r>
        <w:rPr>
          <w:b/>
          <w:color w:val="0000FF"/>
          <w:szCs w:val="21"/>
          <w:highlight w:val="none"/>
        </w:rPr>
        <w:t>总价中，不单列，供应商成交后、合同签订前至</w:t>
      </w:r>
      <w:r>
        <w:rPr>
          <w:rFonts w:hint="eastAsia"/>
          <w:b/>
          <w:color w:val="0000FF"/>
          <w:szCs w:val="21"/>
          <w:highlight w:val="none"/>
          <w:u w:val="single"/>
        </w:rPr>
        <w:t>连云港徐圩港口安全环保科技有限公司</w:t>
      </w:r>
      <w:r>
        <w:rPr>
          <w:b/>
          <w:color w:val="0000FF"/>
          <w:szCs w:val="21"/>
          <w:highlight w:val="none"/>
        </w:rPr>
        <w:t>缴纳此费用</w:t>
      </w:r>
      <w:r>
        <w:rPr>
          <w:rFonts w:ascii="Times New Roman" w:hAnsi="Times New Roman"/>
          <w:b/>
          <w:color w:val="0000FF"/>
          <w:szCs w:val="21"/>
          <w:highlight w:val="none"/>
        </w:rPr>
        <w:t>（联系人：</w:t>
      </w:r>
      <w:r>
        <w:rPr>
          <w:rFonts w:ascii="Times New Roman" w:hAnsi="Times New Roman"/>
          <w:b/>
          <w:color w:val="0000FF"/>
          <w:szCs w:val="21"/>
          <w:highlight w:val="none"/>
          <w:u w:val="single"/>
        </w:rPr>
        <w:t xml:space="preserve"> </w:t>
      </w:r>
      <w:r>
        <w:rPr>
          <w:rFonts w:hint="eastAsia" w:ascii="Times New Roman" w:hAnsi="Times New Roman"/>
          <w:b/>
          <w:color w:val="0000FF"/>
          <w:szCs w:val="21"/>
          <w:highlight w:val="none"/>
          <w:u w:val="single"/>
        </w:rPr>
        <w:t>王慧芝</w:t>
      </w:r>
      <w:r>
        <w:rPr>
          <w:rFonts w:ascii="Times New Roman" w:hAnsi="Times New Roman"/>
          <w:b/>
          <w:color w:val="0000FF"/>
          <w:szCs w:val="21"/>
          <w:highlight w:val="none"/>
          <w:u w:val="single"/>
        </w:rPr>
        <w:t xml:space="preserve"> </w:t>
      </w:r>
      <w:r>
        <w:rPr>
          <w:rFonts w:ascii="Times New Roman" w:hAnsi="Times New Roman"/>
          <w:b/>
          <w:color w:val="0000FF"/>
          <w:szCs w:val="21"/>
          <w:highlight w:val="none"/>
        </w:rPr>
        <w:t>，联系电话</w:t>
      </w:r>
      <w:r>
        <w:rPr>
          <w:rFonts w:ascii="Times New Roman" w:hAnsi="Times New Roman"/>
          <w:b/>
          <w:color w:val="0000FF"/>
          <w:szCs w:val="21"/>
          <w:highlight w:val="none"/>
          <w:u w:val="single"/>
        </w:rPr>
        <w:t xml:space="preserve"> </w:t>
      </w:r>
      <w:r>
        <w:rPr>
          <w:rFonts w:hint="eastAsia" w:ascii="Times New Roman" w:hAnsi="Times New Roman"/>
          <w:b/>
          <w:color w:val="0000FF"/>
          <w:szCs w:val="21"/>
          <w:highlight w:val="none"/>
          <w:u w:val="single"/>
        </w:rPr>
        <w:t>18036653560</w:t>
      </w:r>
      <w:r>
        <w:rPr>
          <w:rFonts w:ascii="Times New Roman" w:hAnsi="Times New Roman"/>
          <w:b/>
          <w:color w:val="0000FF"/>
          <w:szCs w:val="21"/>
          <w:highlight w:val="none"/>
        </w:rPr>
        <w:t>）。</w:t>
      </w:r>
    </w:p>
    <w:p w14:paraId="325B3D3C">
      <w:pPr>
        <w:ind w:firstLine="420"/>
        <w:rPr>
          <w:rFonts w:eastAsiaTheme="minorEastAsia"/>
          <w:szCs w:val="21"/>
          <w:highlight w:val="none"/>
        </w:rPr>
      </w:pPr>
      <w:bookmarkStart w:id="76" w:name="_Toc520410591"/>
      <w:bookmarkStart w:id="77" w:name="_Toc389065165"/>
      <w:r>
        <w:rPr>
          <w:rFonts w:eastAsiaTheme="minorEastAsia"/>
          <w:szCs w:val="21"/>
          <w:highlight w:val="none"/>
        </w:rPr>
        <w:t>3.2.2供应商的响应报价应充分考虑第四章“合同条款及格式”所列合同价格风险。</w:t>
      </w:r>
    </w:p>
    <w:p w14:paraId="7148F47F">
      <w:pPr>
        <w:ind w:firstLine="420"/>
        <w:rPr>
          <w:rFonts w:eastAsiaTheme="minorEastAsia"/>
          <w:szCs w:val="21"/>
          <w:highlight w:val="none"/>
        </w:rPr>
      </w:pPr>
      <w:bookmarkStart w:id="78" w:name="_Toc32229"/>
      <w:bookmarkStart w:id="79" w:name="_Toc3797"/>
      <w:bookmarkStart w:id="80" w:name="_Toc16403"/>
      <w:bookmarkStart w:id="81" w:name="_Toc19863"/>
      <w:r>
        <w:rPr>
          <w:rFonts w:eastAsiaTheme="minorEastAsia"/>
          <w:szCs w:val="21"/>
          <w:highlight w:val="none"/>
        </w:rPr>
        <w:t>3.2.3本项目采用</w:t>
      </w:r>
      <w:r>
        <w:rPr>
          <w:rFonts w:eastAsiaTheme="minorEastAsia"/>
          <w:szCs w:val="21"/>
          <w:highlight w:val="none"/>
          <w:u w:val="single"/>
        </w:rPr>
        <w:t xml:space="preserve"> 2 </w:t>
      </w:r>
      <w:r>
        <w:rPr>
          <w:rFonts w:eastAsiaTheme="minorEastAsia"/>
          <w:szCs w:val="21"/>
          <w:highlight w:val="none"/>
        </w:rPr>
        <w:t>轮报价，谈判评审小组将对评审后满足谈判文件形式评审要求的供应商进行二次报价，供应商应及时在不见面开标大厅填报二次报价，如谈判过程中因供应商原因导致无法联系等情况，供应商未依据采购人要求填报报价，视为供应商放弃二次报价，以初次报价为最终报价。</w:t>
      </w:r>
      <w:bookmarkEnd w:id="78"/>
      <w:bookmarkEnd w:id="79"/>
      <w:bookmarkEnd w:id="80"/>
    </w:p>
    <w:p w14:paraId="16D893D7">
      <w:pPr>
        <w:ind w:firstLine="420"/>
        <w:rPr>
          <w:rFonts w:eastAsiaTheme="minorEastAsia"/>
          <w:szCs w:val="21"/>
          <w:highlight w:val="none"/>
        </w:rPr>
      </w:pPr>
      <w:bookmarkStart w:id="82" w:name="_Toc27689"/>
      <w:bookmarkStart w:id="83" w:name="_Toc31241"/>
      <w:bookmarkStart w:id="84" w:name="_Toc12154"/>
      <w:r>
        <w:rPr>
          <w:rFonts w:eastAsiaTheme="minorEastAsia"/>
          <w:szCs w:val="21"/>
          <w:highlight w:val="none"/>
        </w:rPr>
        <w:t>谈判评审小组可根据第二轮报价情况临时增加一轮谈判，公告供应商进行第三轮报价，此情况下，第三轮报价为最终谈判报价，如谈判过程中因供应商原因导致无法联系等情况，供应商未依据采购人要求填报报价，视为供应商放弃第三轮报价，以前一次报价为最终报价。</w:t>
      </w:r>
      <w:bookmarkEnd w:id="82"/>
      <w:bookmarkEnd w:id="83"/>
      <w:bookmarkEnd w:id="84"/>
    </w:p>
    <w:bookmarkEnd w:id="81"/>
    <w:p w14:paraId="0DAC6192">
      <w:pPr>
        <w:ind w:firstLine="422"/>
        <w:rPr>
          <w:rFonts w:eastAsiaTheme="minorEastAsia"/>
          <w:b/>
          <w:bCs/>
          <w:szCs w:val="21"/>
          <w:highlight w:val="none"/>
        </w:rPr>
      </w:pPr>
      <w:r>
        <w:rPr>
          <w:rFonts w:eastAsiaTheme="minorEastAsia"/>
          <w:b/>
          <w:bCs/>
          <w:szCs w:val="21"/>
          <w:highlight w:val="none"/>
        </w:rPr>
        <w:t>3.3谈判有效期</w:t>
      </w:r>
      <w:bookmarkEnd w:id="76"/>
      <w:bookmarkEnd w:id="77"/>
    </w:p>
    <w:p w14:paraId="2927D5F0">
      <w:pPr>
        <w:ind w:firstLine="420"/>
        <w:rPr>
          <w:rFonts w:eastAsiaTheme="minorEastAsia"/>
          <w:szCs w:val="21"/>
          <w:highlight w:val="none"/>
        </w:rPr>
      </w:pPr>
      <w:bookmarkStart w:id="85" w:name="_Toc520410594"/>
      <w:bookmarkStart w:id="86" w:name="_Toc389065169"/>
      <w:r>
        <w:rPr>
          <w:rFonts w:eastAsiaTheme="minorEastAsia"/>
          <w:szCs w:val="21"/>
          <w:highlight w:val="none"/>
        </w:rPr>
        <w:t>3.3.1本项目谈判有效期见“供应商须知前附表”，在规定的谈判有效期内，供应商不得要求撤销或修改其响应文件。</w:t>
      </w:r>
    </w:p>
    <w:p w14:paraId="78471EFE">
      <w:pPr>
        <w:ind w:firstLine="420"/>
        <w:rPr>
          <w:rFonts w:eastAsiaTheme="minorEastAsia"/>
          <w:szCs w:val="21"/>
          <w:highlight w:val="none"/>
        </w:rPr>
      </w:pPr>
      <w:r>
        <w:rPr>
          <w:rFonts w:eastAsiaTheme="minorEastAsia"/>
          <w:szCs w:val="21"/>
          <w:highlight w:val="none"/>
        </w:rPr>
        <w:t>3.3.2出现特殊情况需要延长谈判有效期的，采购人将通知所有供应商延长谈判有效期。供应商同意延长的，应相应延长其谈判保证金的有效期，但不得要求或被允许修改或撤销其响应文件；供应商拒绝延长的，其响应文件失效，但供应商有权收回其谈判保证金。</w:t>
      </w:r>
    </w:p>
    <w:p w14:paraId="5B7CE910">
      <w:pPr>
        <w:ind w:firstLine="422"/>
        <w:rPr>
          <w:rFonts w:eastAsiaTheme="minorEastAsia"/>
          <w:b/>
          <w:bCs/>
          <w:color w:val="000000" w:themeColor="text1"/>
          <w:szCs w:val="21"/>
          <w:highlight w:val="none"/>
          <w14:textFill>
            <w14:solidFill>
              <w14:schemeClr w14:val="tx1"/>
            </w14:solidFill>
          </w14:textFill>
        </w:rPr>
      </w:pPr>
      <w:bookmarkStart w:id="87" w:name="_Toc389065166"/>
      <w:bookmarkStart w:id="88" w:name="_Toc520410592"/>
      <w:r>
        <w:rPr>
          <w:rFonts w:eastAsiaTheme="minorEastAsia"/>
          <w:b/>
          <w:bCs/>
          <w:color w:val="000000" w:themeColor="text1"/>
          <w:szCs w:val="21"/>
          <w:highlight w:val="none"/>
          <w14:textFill>
            <w14:solidFill>
              <w14:schemeClr w14:val="tx1"/>
            </w14:solidFill>
          </w14:textFill>
        </w:rPr>
        <w:t>3.4谈判保证金</w:t>
      </w:r>
      <w:bookmarkEnd w:id="87"/>
      <w:bookmarkEnd w:id="88"/>
    </w:p>
    <w:p w14:paraId="6205EF24">
      <w:pPr>
        <w:ind w:firstLine="420"/>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3.4.1谈判保证金提交要求：</w:t>
      </w:r>
      <w:bookmarkStart w:id="89" w:name="_Hlk39483102"/>
      <w:r>
        <w:rPr>
          <w:rFonts w:eastAsiaTheme="minorEastAsia"/>
          <w:color w:val="000000" w:themeColor="text1"/>
          <w:szCs w:val="21"/>
          <w:highlight w:val="none"/>
          <w14:textFill>
            <w14:solidFill>
              <w14:schemeClr w14:val="tx1"/>
            </w14:solidFill>
          </w14:textFill>
        </w:rPr>
        <w:t>见“供应商须知前附表”。</w:t>
      </w:r>
      <w:bookmarkEnd w:id="89"/>
    </w:p>
    <w:p w14:paraId="18B41A3D">
      <w:pPr>
        <w:ind w:firstLine="420"/>
        <w:rPr>
          <w:rFonts w:eastAsiaTheme="minorEastAsia"/>
          <w:color w:val="auto"/>
          <w:szCs w:val="21"/>
          <w:highlight w:val="none"/>
        </w:rPr>
      </w:pPr>
      <w:r>
        <w:rPr>
          <w:rFonts w:eastAsiaTheme="minorEastAsia"/>
          <w:color w:val="000000" w:themeColor="text1"/>
          <w:szCs w:val="21"/>
          <w:highlight w:val="none"/>
          <w14:textFill>
            <w14:solidFill>
              <w14:schemeClr w14:val="tx1"/>
            </w14:solidFill>
          </w14:textFill>
        </w:rPr>
        <w:t>3.4.2供应商不按本章第3.4.1项要求提交谈判保证金的，评审委员会将否决其递交的响应文件。</w:t>
      </w:r>
    </w:p>
    <w:p w14:paraId="505F47B0">
      <w:pPr>
        <w:ind w:firstLine="420"/>
        <w:rPr>
          <w:rFonts w:eastAsiaTheme="minorEastAsia"/>
          <w:color w:val="auto"/>
          <w:szCs w:val="21"/>
          <w:highlight w:val="none"/>
        </w:rPr>
      </w:pPr>
      <w:r>
        <w:rPr>
          <w:rFonts w:eastAsiaTheme="minorEastAsia"/>
          <w:color w:val="auto"/>
          <w:szCs w:val="21"/>
          <w:highlight w:val="none"/>
        </w:rPr>
        <w:t>3.4.3采购人在成交结果公示后</w:t>
      </w:r>
      <w:r>
        <w:rPr>
          <w:rFonts w:hint="eastAsia" w:eastAsiaTheme="minorEastAsia"/>
          <w:color w:val="auto"/>
          <w:szCs w:val="21"/>
          <w:highlight w:val="none"/>
        </w:rPr>
        <w:t>10个工作日</w:t>
      </w:r>
      <w:r>
        <w:rPr>
          <w:rFonts w:eastAsiaTheme="minorEastAsia"/>
          <w:color w:val="auto"/>
          <w:szCs w:val="21"/>
          <w:highlight w:val="none"/>
        </w:rPr>
        <w:t>内退还非成交供应商的谈判保证金，合同签订后</w:t>
      </w:r>
      <w:r>
        <w:rPr>
          <w:rFonts w:hint="eastAsia" w:eastAsiaTheme="minorEastAsia"/>
          <w:color w:val="auto"/>
          <w:szCs w:val="21"/>
          <w:highlight w:val="none"/>
        </w:rPr>
        <w:t>10个工作日</w:t>
      </w:r>
      <w:r>
        <w:rPr>
          <w:rFonts w:eastAsiaTheme="minorEastAsia"/>
          <w:color w:val="auto"/>
          <w:szCs w:val="21"/>
          <w:highlight w:val="none"/>
        </w:rPr>
        <w:t>内退还成交供应商的谈判保证金。</w:t>
      </w:r>
    </w:p>
    <w:p w14:paraId="724E073F">
      <w:pPr>
        <w:ind w:firstLine="420"/>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3.4.4谈判保证金不予退还的情形：见“供应商须知前附表”。</w:t>
      </w:r>
    </w:p>
    <w:p w14:paraId="3678F3B3">
      <w:pPr>
        <w:ind w:firstLine="422"/>
        <w:rPr>
          <w:rFonts w:eastAsiaTheme="minorEastAsia"/>
          <w:b/>
          <w:bCs/>
          <w:color w:val="000000" w:themeColor="text1"/>
          <w:szCs w:val="21"/>
          <w:highlight w:val="none"/>
          <w14:textFill>
            <w14:solidFill>
              <w14:schemeClr w14:val="tx1"/>
            </w14:solidFill>
          </w14:textFill>
        </w:rPr>
      </w:pPr>
      <w:bookmarkStart w:id="90" w:name="_Toc389065168"/>
      <w:bookmarkStart w:id="91" w:name="_Toc520410593"/>
      <w:r>
        <w:rPr>
          <w:rFonts w:eastAsiaTheme="minorEastAsia"/>
          <w:b/>
          <w:bCs/>
          <w:color w:val="000000" w:themeColor="text1"/>
          <w:szCs w:val="21"/>
          <w:highlight w:val="none"/>
          <w14:textFill>
            <w14:solidFill>
              <w14:schemeClr w14:val="tx1"/>
            </w14:solidFill>
          </w14:textFill>
        </w:rPr>
        <w:t>3.5响应文件的编制</w:t>
      </w:r>
      <w:bookmarkEnd w:id="90"/>
      <w:bookmarkEnd w:id="91"/>
    </w:p>
    <w:p w14:paraId="5929DE96">
      <w:pPr>
        <w:ind w:firstLine="420"/>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3.5.1供应商应认真阅读谈判文件所有的内容，响应文件应按第六章“响应文件格式”进行编写，如有必要可自行增加，作为响应文件的组成部分。</w:t>
      </w:r>
    </w:p>
    <w:p w14:paraId="364D020D">
      <w:pPr>
        <w:ind w:firstLine="420"/>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3.5.2响应文件应当对谈判文件有关工期、谈判有效期、质量要求、技术标准和要求、采购范围等实质性内容作出响应。</w:t>
      </w:r>
    </w:p>
    <w:p w14:paraId="4354733B">
      <w:pPr>
        <w:ind w:firstLine="420"/>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3.5.3未注明用何种语言和币种的，以中文和人民币为准。全套响应文件应无修改和行间插字，如有修改，须在修改处加盖供应商法定代表人或其授权委托人的签字。</w:t>
      </w:r>
    </w:p>
    <w:p w14:paraId="19D5755A">
      <w:pPr>
        <w:pStyle w:val="5"/>
        <w:spacing w:before="0" w:after="0" w:line="400" w:lineRule="exact"/>
        <w:ind w:firstLine="0" w:firstLineChars="0"/>
        <w:rPr>
          <w:rFonts w:ascii="Times New Roman" w:hAnsi="Times New Roman" w:eastAsiaTheme="minorEastAsia"/>
          <w:sz w:val="21"/>
          <w:szCs w:val="21"/>
          <w:highlight w:val="none"/>
        </w:rPr>
      </w:pPr>
      <w:bookmarkStart w:id="92" w:name="_Toc30865"/>
      <w:bookmarkStart w:id="93" w:name="_Toc6296"/>
      <w:bookmarkStart w:id="94" w:name="_Toc27824"/>
      <w:r>
        <w:rPr>
          <w:rFonts w:ascii="Times New Roman" w:hAnsi="Times New Roman" w:eastAsiaTheme="minorEastAsia"/>
          <w:sz w:val="21"/>
          <w:szCs w:val="21"/>
          <w:highlight w:val="none"/>
        </w:rPr>
        <w:t>四、</w:t>
      </w:r>
      <w:bookmarkEnd w:id="85"/>
      <w:bookmarkEnd w:id="86"/>
      <w:bookmarkStart w:id="95" w:name="_Toc520410595"/>
      <w:bookmarkStart w:id="96" w:name="_Toc389065170"/>
      <w:r>
        <w:rPr>
          <w:rFonts w:ascii="Times New Roman" w:hAnsi="Times New Roman" w:eastAsiaTheme="minorEastAsia"/>
          <w:sz w:val="21"/>
          <w:szCs w:val="21"/>
          <w:highlight w:val="none"/>
        </w:rPr>
        <w:t>响应文件的递交、修改与撤回</w:t>
      </w:r>
      <w:bookmarkEnd w:id="92"/>
      <w:bookmarkEnd w:id="93"/>
      <w:bookmarkEnd w:id="94"/>
    </w:p>
    <w:p w14:paraId="2D03CC26">
      <w:pPr>
        <w:ind w:firstLine="422"/>
        <w:rPr>
          <w:rFonts w:eastAsiaTheme="minorEastAsia"/>
          <w:b/>
          <w:bCs/>
          <w:szCs w:val="21"/>
          <w:highlight w:val="none"/>
        </w:rPr>
      </w:pPr>
      <w:r>
        <w:rPr>
          <w:rFonts w:eastAsiaTheme="minorEastAsia"/>
          <w:b/>
          <w:bCs/>
          <w:szCs w:val="21"/>
          <w:highlight w:val="none"/>
        </w:rPr>
        <w:t>4.1响应文件的</w:t>
      </w:r>
      <w:bookmarkEnd w:id="95"/>
      <w:bookmarkEnd w:id="96"/>
      <w:r>
        <w:rPr>
          <w:rFonts w:eastAsiaTheme="minorEastAsia"/>
          <w:b/>
          <w:bCs/>
          <w:szCs w:val="21"/>
          <w:highlight w:val="none"/>
        </w:rPr>
        <w:t>递交</w:t>
      </w:r>
    </w:p>
    <w:p w14:paraId="05BB881A">
      <w:pPr>
        <w:ind w:firstLine="420"/>
        <w:rPr>
          <w:rFonts w:eastAsiaTheme="minorEastAsia"/>
          <w:szCs w:val="21"/>
          <w:highlight w:val="none"/>
        </w:rPr>
      </w:pPr>
      <w:bookmarkStart w:id="97" w:name="_Toc520410596"/>
      <w:bookmarkStart w:id="98" w:name="_Toc389065171"/>
      <w:r>
        <w:rPr>
          <w:rFonts w:eastAsiaTheme="minorEastAsia"/>
          <w:szCs w:val="21"/>
          <w:highlight w:val="none"/>
        </w:rPr>
        <w:t>4.1.1</w:t>
      </w:r>
      <w:bookmarkEnd w:id="97"/>
      <w:bookmarkEnd w:id="98"/>
      <w:r>
        <w:rPr>
          <w:rFonts w:eastAsiaTheme="minorEastAsia"/>
          <w:szCs w:val="21"/>
          <w:highlight w:val="none"/>
        </w:rPr>
        <w:t>供应商应在供应商须知前附表规定的响应文件递交截止时间前，向“徐圩新区公共资源交易服务平台”递交加密后的电子响应文件。</w:t>
      </w:r>
    </w:p>
    <w:p w14:paraId="06610D10">
      <w:pPr>
        <w:ind w:firstLine="420"/>
        <w:rPr>
          <w:rFonts w:eastAsiaTheme="minorEastAsia"/>
          <w:szCs w:val="21"/>
          <w:highlight w:val="none"/>
        </w:rPr>
      </w:pPr>
      <w:r>
        <w:rPr>
          <w:rFonts w:eastAsiaTheme="minorEastAsia"/>
          <w:szCs w:val="21"/>
          <w:highlight w:val="none"/>
        </w:rPr>
        <w:t>4.1.2响应文件递交的地点：详见“供应商须知前附表”。</w:t>
      </w:r>
    </w:p>
    <w:p w14:paraId="543EDA74">
      <w:pPr>
        <w:ind w:firstLine="420"/>
        <w:rPr>
          <w:rFonts w:eastAsiaTheme="minorEastAsia"/>
          <w:szCs w:val="21"/>
          <w:highlight w:val="none"/>
        </w:rPr>
      </w:pPr>
      <w:r>
        <w:rPr>
          <w:rFonts w:eastAsiaTheme="minorEastAsia"/>
          <w:szCs w:val="21"/>
          <w:highlight w:val="none"/>
        </w:rPr>
        <w:t>4.1.3逾期上传电子响应文件的，采购人不予受理。</w:t>
      </w:r>
    </w:p>
    <w:p w14:paraId="0A4F8476">
      <w:pPr>
        <w:ind w:firstLine="420"/>
        <w:rPr>
          <w:rFonts w:eastAsiaTheme="minorEastAsia"/>
          <w:szCs w:val="21"/>
          <w:highlight w:val="none"/>
        </w:rPr>
      </w:pPr>
      <w:r>
        <w:rPr>
          <w:rFonts w:eastAsiaTheme="minorEastAsia"/>
          <w:color w:val="000000" w:themeColor="text1"/>
          <w:szCs w:val="21"/>
          <w:highlight w:val="none"/>
          <w14:textFill>
            <w14:solidFill>
              <w14:schemeClr w14:val="tx1"/>
            </w14:solidFill>
          </w14:textFill>
        </w:rPr>
        <w:t>4.1.4通过“徐圩新区公共资源交易服务平台”中上传的电子响应文件应加密，未按要求加密的响应文件，采购人不予受理。</w:t>
      </w:r>
    </w:p>
    <w:p w14:paraId="2799610F">
      <w:pPr>
        <w:ind w:firstLine="422"/>
        <w:rPr>
          <w:rFonts w:eastAsiaTheme="minorEastAsia"/>
          <w:b/>
          <w:bCs/>
          <w:szCs w:val="21"/>
          <w:highlight w:val="none"/>
        </w:rPr>
      </w:pPr>
      <w:bookmarkStart w:id="99" w:name="_Toc520410597"/>
      <w:bookmarkStart w:id="100" w:name="_Toc389065172"/>
      <w:r>
        <w:rPr>
          <w:rFonts w:eastAsiaTheme="minorEastAsia"/>
          <w:b/>
          <w:bCs/>
          <w:szCs w:val="21"/>
          <w:highlight w:val="none"/>
        </w:rPr>
        <w:t>4.2响应文件的修改与撤回</w:t>
      </w:r>
      <w:bookmarkEnd w:id="99"/>
      <w:bookmarkEnd w:id="100"/>
    </w:p>
    <w:p w14:paraId="422D4D26">
      <w:pPr>
        <w:ind w:firstLine="420"/>
        <w:rPr>
          <w:rFonts w:eastAsiaTheme="minorEastAsia"/>
          <w:szCs w:val="21"/>
          <w:highlight w:val="none"/>
        </w:rPr>
      </w:pPr>
      <w:r>
        <w:rPr>
          <w:rFonts w:eastAsiaTheme="minorEastAsia"/>
          <w:szCs w:val="21"/>
          <w:highlight w:val="none"/>
        </w:rPr>
        <w:t>在本章第4.1项规定的</w:t>
      </w:r>
      <w:r>
        <w:rPr>
          <w:rFonts w:eastAsiaTheme="minorEastAsia"/>
          <w:b/>
          <w:bCs/>
          <w:szCs w:val="21"/>
          <w:highlight w:val="none"/>
        </w:rPr>
        <w:t>响应文件递交截止</w:t>
      </w:r>
      <w:r>
        <w:rPr>
          <w:rFonts w:eastAsiaTheme="minorEastAsia"/>
          <w:szCs w:val="21"/>
          <w:highlight w:val="none"/>
        </w:rPr>
        <w:t>时间前，供应商可以修改或撤回已递交的响应文件。</w:t>
      </w:r>
      <w:bookmarkEnd w:id="17"/>
      <w:bookmarkEnd w:id="18"/>
      <w:bookmarkEnd w:id="19"/>
      <w:bookmarkEnd w:id="20"/>
      <w:bookmarkEnd w:id="21"/>
      <w:bookmarkEnd w:id="22"/>
    </w:p>
    <w:p w14:paraId="5EF57655">
      <w:pPr>
        <w:pStyle w:val="5"/>
        <w:spacing w:before="0" w:after="0" w:line="400" w:lineRule="exact"/>
        <w:ind w:firstLine="0" w:firstLineChars="0"/>
        <w:rPr>
          <w:rFonts w:ascii="Times New Roman" w:hAnsi="Times New Roman" w:eastAsiaTheme="minorEastAsia"/>
          <w:color w:val="000000" w:themeColor="text1"/>
          <w:sz w:val="21"/>
          <w:szCs w:val="21"/>
          <w:highlight w:val="none"/>
          <w14:textFill>
            <w14:solidFill>
              <w14:schemeClr w14:val="tx1"/>
            </w14:solidFill>
          </w14:textFill>
        </w:rPr>
      </w:pPr>
      <w:bookmarkStart w:id="101" w:name="_Toc19817"/>
      <w:bookmarkStart w:id="102" w:name="_Toc27153"/>
      <w:bookmarkStart w:id="103" w:name="_Toc27718"/>
      <w:bookmarkStart w:id="104" w:name="_Toc5399"/>
      <w:bookmarkStart w:id="105" w:name="_Toc247527584"/>
      <w:bookmarkStart w:id="106" w:name="_Toc247513983"/>
      <w:bookmarkStart w:id="107" w:name="_Toc144974527"/>
      <w:bookmarkStart w:id="108" w:name="_Toc152042335"/>
      <w:bookmarkStart w:id="109" w:name="_Toc152045559"/>
      <w:bookmarkStart w:id="110" w:name="_Toc443200841"/>
      <w:bookmarkStart w:id="111" w:name="_Toc520410612"/>
      <w:bookmarkStart w:id="112" w:name="_Toc389065192"/>
      <w:r>
        <w:rPr>
          <w:rFonts w:ascii="Times New Roman" w:hAnsi="Times New Roman" w:eastAsiaTheme="minorEastAsia"/>
          <w:color w:val="000000" w:themeColor="text1"/>
          <w:sz w:val="21"/>
          <w:szCs w:val="21"/>
          <w:highlight w:val="none"/>
          <w14:textFill>
            <w14:solidFill>
              <w14:schemeClr w14:val="tx1"/>
            </w14:solidFill>
          </w14:textFill>
        </w:rPr>
        <w:t>五、谈判与评审</w:t>
      </w:r>
      <w:bookmarkEnd w:id="101"/>
      <w:bookmarkEnd w:id="102"/>
      <w:bookmarkEnd w:id="103"/>
      <w:bookmarkEnd w:id="104"/>
    </w:p>
    <w:bookmarkEnd w:id="105"/>
    <w:bookmarkEnd w:id="106"/>
    <w:bookmarkEnd w:id="107"/>
    <w:bookmarkEnd w:id="108"/>
    <w:bookmarkEnd w:id="109"/>
    <w:bookmarkEnd w:id="110"/>
    <w:p w14:paraId="09C97851">
      <w:pPr>
        <w:ind w:firstLine="422"/>
        <w:rPr>
          <w:rFonts w:eastAsiaTheme="minorEastAsia"/>
          <w:bCs/>
          <w:color w:val="000000" w:themeColor="text1"/>
          <w:szCs w:val="21"/>
          <w:highlight w:val="none"/>
          <w14:textFill>
            <w14:solidFill>
              <w14:schemeClr w14:val="tx1"/>
            </w14:solidFill>
          </w14:textFill>
        </w:rPr>
      </w:pPr>
      <w:bookmarkStart w:id="113" w:name="_Toc520410600"/>
      <w:bookmarkStart w:id="114" w:name="_Toc389065175"/>
      <w:r>
        <w:rPr>
          <w:rFonts w:eastAsiaTheme="minorEastAsia"/>
          <w:b/>
          <w:color w:val="000000" w:themeColor="text1"/>
          <w:szCs w:val="21"/>
          <w:highlight w:val="none"/>
          <w14:textFill>
            <w14:solidFill>
              <w14:schemeClr w14:val="tx1"/>
            </w14:solidFill>
          </w14:textFill>
        </w:rPr>
        <w:t>5.1</w:t>
      </w:r>
      <w:bookmarkEnd w:id="113"/>
      <w:bookmarkEnd w:id="114"/>
      <w:bookmarkStart w:id="115" w:name="_Toc520410601"/>
      <w:bookmarkStart w:id="116" w:name="_Toc389065176"/>
      <w:r>
        <w:rPr>
          <w:rFonts w:eastAsiaTheme="minorEastAsia"/>
          <w:b/>
          <w:color w:val="000000" w:themeColor="text1"/>
          <w:szCs w:val="21"/>
          <w:highlight w:val="none"/>
          <w14:textFill>
            <w14:solidFill>
              <w14:schemeClr w14:val="tx1"/>
            </w14:solidFill>
          </w14:textFill>
        </w:rPr>
        <w:t>谈判时间、地点和供应商参会代表：</w:t>
      </w:r>
    </w:p>
    <w:p w14:paraId="11198250">
      <w:pPr>
        <w:ind w:firstLine="420"/>
        <w:rPr>
          <w:rFonts w:eastAsiaTheme="minorEastAsia"/>
          <w:bCs/>
          <w:color w:val="000000" w:themeColor="text1"/>
          <w:szCs w:val="21"/>
          <w:highlight w:val="none"/>
          <w14:textFill>
            <w14:solidFill>
              <w14:schemeClr w14:val="tx1"/>
            </w14:solidFill>
          </w14:textFill>
        </w:rPr>
      </w:pPr>
      <w:r>
        <w:rPr>
          <w:rFonts w:eastAsiaTheme="minorEastAsia"/>
          <w:bCs/>
          <w:color w:val="000000" w:themeColor="text1"/>
          <w:szCs w:val="21"/>
          <w:highlight w:val="none"/>
          <w14:textFill>
            <w14:solidFill>
              <w14:schemeClr w14:val="tx1"/>
            </w14:solidFill>
          </w14:textFill>
        </w:rPr>
        <w:t>5.1.1谈判时间和地点：详见“供应商须知前附表”。</w:t>
      </w:r>
    </w:p>
    <w:p w14:paraId="1AA8E419">
      <w:pPr>
        <w:ind w:firstLine="420"/>
        <w:rPr>
          <w:rFonts w:eastAsiaTheme="minorEastAsia"/>
          <w:bCs/>
          <w:color w:val="000000" w:themeColor="text1"/>
          <w:szCs w:val="21"/>
          <w:highlight w:val="none"/>
          <w14:textFill>
            <w14:solidFill>
              <w14:schemeClr w14:val="tx1"/>
            </w14:solidFill>
          </w14:textFill>
        </w:rPr>
      </w:pPr>
      <w:r>
        <w:rPr>
          <w:rFonts w:eastAsiaTheme="minorEastAsia"/>
          <w:bCs/>
          <w:color w:val="000000" w:themeColor="text1"/>
          <w:szCs w:val="21"/>
          <w:highlight w:val="none"/>
          <w14:textFill>
            <w14:solidFill>
              <w14:schemeClr w14:val="tx1"/>
            </w14:solidFill>
          </w14:textFill>
        </w:rPr>
        <w:t>5.1.2参加谈判会议的供应商代表：详见“供应商须知前附表”。</w:t>
      </w:r>
    </w:p>
    <w:p w14:paraId="5C434CED">
      <w:pPr>
        <w:ind w:firstLine="422"/>
        <w:rPr>
          <w:rFonts w:eastAsiaTheme="minorEastAsia"/>
          <w:b/>
          <w:color w:val="000000" w:themeColor="text1"/>
          <w:szCs w:val="21"/>
          <w:highlight w:val="none"/>
          <w14:textFill>
            <w14:solidFill>
              <w14:schemeClr w14:val="tx1"/>
            </w14:solidFill>
          </w14:textFill>
        </w:rPr>
      </w:pPr>
      <w:r>
        <w:rPr>
          <w:rFonts w:eastAsiaTheme="minorEastAsia"/>
          <w:b/>
          <w:color w:val="000000" w:themeColor="text1"/>
          <w:szCs w:val="21"/>
          <w:highlight w:val="none"/>
          <w14:textFill>
            <w14:solidFill>
              <w14:schemeClr w14:val="tx1"/>
            </w14:solidFill>
          </w14:textFill>
        </w:rPr>
        <w:t>5.2谈判程序</w:t>
      </w:r>
    </w:p>
    <w:p w14:paraId="1CEB02A1">
      <w:pPr>
        <w:ind w:firstLine="420"/>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5.2.1谈判程序见“供应商须知前附表”。</w:t>
      </w:r>
    </w:p>
    <w:p w14:paraId="7ED0AEDB">
      <w:pPr>
        <w:ind w:firstLine="420"/>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5.2.2每个供应商应在“供应商须知前附表”规定的时间内完成电子响应文件的解密工作。</w:t>
      </w:r>
    </w:p>
    <w:p w14:paraId="26D0F5A1">
      <w:pPr>
        <w:ind w:firstLine="420"/>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5.2.3供应商网上谈判流程</w:t>
      </w:r>
    </w:p>
    <w:p w14:paraId="396BF4E2">
      <w:pPr>
        <w:ind w:firstLine="420"/>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供应商门户网站首页点击“网上开标大厅”-&gt;供应商登录-&gt;进入开标大厅-&gt;选择谈判项目-&gt;进入谈判房间-&gt;签到-&gt;供应商解密-&gt;异议提出（若有异议）-&gt;等待采购人解密-&gt;解密结束等待唱标-&gt;唱标结果查看-&gt;唱标结果确认-&gt;开标结束。</w:t>
      </w:r>
    </w:p>
    <w:p w14:paraId="7D9E624E">
      <w:pPr>
        <w:ind w:firstLine="420"/>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如果采购人开启二次报价，则供应商需要进行二次报价，二次报价报完后，等待采购人公布最终谈判结果。</w:t>
      </w:r>
    </w:p>
    <w:p w14:paraId="402E533B">
      <w:pPr>
        <w:ind w:firstLine="422"/>
        <w:rPr>
          <w:rFonts w:eastAsiaTheme="minorEastAsia"/>
          <w:b/>
          <w:bCs/>
          <w:color w:val="000000" w:themeColor="text1"/>
          <w:szCs w:val="21"/>
          <w:highlight w:val="none"/>
          <w14:textFill>
            <w14:solidFill>
              <w14:schemeClr w14:val="tx1"/>
            </w14:solidFill>
          </w14:textFill>
        </w:rPr>
      </w:pPr>
      <w:r>
        <w:rPr>
          <w:rFonts w:eastAsiaTheme="minorEastAsia"/>
          <w:b/>
          <w:bCs/>
          <w:color w:val="000000" w:themeColor="text1"/>
          <w:szCs w:val="21"/>
          <w:highlight w:val="none"/>
          <w14:textFill>
            <w14:solidFill>
              <w14:schemeClr w14:val="tx1"/>
            </w14:solidFill>
          </w14:textFill>
        </w:rPr>
        <w:t>5.</w:t>
      </w:r>
      <w:bookmarkEnd w:id="115"/>
      <w:r>
        <w:rPr>
          <w:rFonts w:eastAsiaTheme="minorEastAsia"/>
          <w:b/>
          <w:bCs/>
          <w:color w:val="000000" w:themeColor="text1"/>
          <w:szCs w:val="21"/>
          <w:highlight w:val="none"/>
          <w14:textFill>
            <w14:solidFill>
              <w14:schemeClr w14:val="tx1"/>
            </w14:solidFill>
          </w14:textFill>
        </w:rPr>
        <w:t>3特殊情况处理</w:t>
      </w:r>
    </w:p>
    <w:bookmarkEnd w:id="116"/>
    <w:p w14:paraId="4C3BD2E1">
      <w:pPr>
        <w:ind w:firstLine="420"/>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供应商对谈判活动过程有异议的，应当在现场提出，采购人或代理机构应当场作出答复，并作书面记录，谈判活动结束后供应商再对谈判过程提出异议的，采购人不再受理。</w:t>
      </w:r>
      <w:r>
        <w:rPr>
          <w:szCs w:val="21"/>
          <w:highlight w:val="none"/>
        </w:rPr>
        <w:t>供应商</w:t>
      </w:r>
      <w:r>
        <w:rPr>
          <w:highlight w:val="none"/>
        </w:rPr>
        <w:t>响应文件必须进行加密处理，并在规定的时间内解密，因</w:t>
      </w:r>
      <w:r>
        <w:rPr>
          <w:szCs w:val="21"/>
          <w:highlight w:val="none"/>
        </w:rPr>
        <w:t>供应商</w:t>
      </w:r>
      <w:r>
        <w:rPr>
          <w:highlight w:val="none"/>
        </w:rPr>
        <w:t>原因造成未在规定的时间内完成解密的，</w:t>
      </w:r>
      <w:r>
        <w:rPr>
          <w:szCs w:val="21"/>
          <w:highlight w:val="none"/>
        </w:rPr>
        <w:t>该供应商响应文件将被拒绝，</w:t>
      </w:r>
      <w:r>
        <w:rPr>
          <w:rFonts w:hint="eastAsia"/>
          <w:szCs w:val="21"/>
          <w:highlight w:val="none"/>
        </w:rPr>
        <w:t>谈判</w:t>
      </w:r>
      <w:r>
        <w:rPr>
          <w:szCs w:val="21"/>
          <w:highlight w:val="none"/>
        </w:rPr>
        <w:t>将按正常程序</w:t>
      </w:r>
      <w:r>
        <w:rPr>
          <w:highlight w:val="none"/>
        </w:rPr>
        <w:t>进行下一步，由此产生的后果由供应商自行承担。</w:t>
      </w:r>
    </w:p>
    <w:p w14:paraId="2E15D06A">
      <w:pPr>
        <w:ind w:firstLine="422"/>
        <w:rPr>
          <w:rFonts w:eastAsiaTheme="minorEastAsia"/>
          <w:b/>
          <w:bCs/>
          <w:color w:val="000000" w:themeColor="text1"/>
          <w:szCs w:val="21"/>
          <w:highlight w:val="none"/>
          <w14:textFill>
            <w14:solidFill>
              <w14:schemeClr w14:val="tx1"/>
            </w14:solidFill>
          </w14:textFill>
        </w:rPr>
      </w:pPr>
      <w:r>
        <w:rPr>
          <w:rFonts w:eastAsiaTheme="minorEastAsia"/>
          <w:b/>
          <w:bCs/>
          <w:color w:val="000000" w:themeColor="text1"/>
          <w:szCs w:val="21"/>
          <w:highlight w:val="none"/>
          <w14:textFill>
            <w14:solidFill>
              <w14:schemeClr w14:val="tx1"/>
            </w14:solidFill>
          </w14:textFill>
        </w:rPr>
        <w:t>5.</w:t>
      </w:r>
      <w:bookmarkStart w:id="117" w:name="_Toc389065178"/>
      <w:bookmarkStart w:id="118" w:name="_Toc520410603"/>
      <w:r>
        <w:rPr>
          <w:rFonts w:eastAsiaTheme="minorEastAsia"/>
          <w:b/>
          <w:bCs/>
          <w:color w:val="000000" w:themeColor="text1"/>
          <w:szCs w:val="21"/>
          <w:highlight w:val="none"/>
          <w14:textFill>
            <w14:solidFill>
              <w14:schemeClr w14:val="tx1"/>
            </w14:solidFill>
          </w14:textFill>
        </w:rPr>
        <w:t>4谈判评审小组</w:t>
      </w:r>
      <w:bookmarkEnd w:id="117"/>
      <w:bookmarkEnd w:id="118"/>
    </w:p>
    <w:p w14:paraId="15E941B6">
      <w:pPr>
        <w:ind w:firstLine="420"/>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5.4.1评审工作由采购人依法组建的谈判评审小组负责。评审小组成员人数以及小组成员的确定方式见“供应商须知前附表”。</w:t>
      </w:r>
    </w:p>
    <w:p w14:paraId="308A965F">
      <w:pPr>
        <w:ind w:firstLine="420"/>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5.4.2评审小组成员有下列情形之一的，应当回避：</w:t>
      </w:r>
      <w:bookmarkStart w:id="119" w:name="_Toc389065179"/>
    </w:p>
    <w:p w14:paraId="4FB77747">
      <w:pPr>
        <w:ind w:firstLine="420"/>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（1）供应商或供应商的主要负责人的近亲属；</w:t>
      </w:r>
    </w:p>
    <w:p w14:paraId="4C67C48C">
      <w:pPr>
        <w:ind w:firstLine="420"/>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（2）与供应商有经济利益关系，可能影响对谈判公正评审的；</w:t>
      </w:r>
    </w:p>
    <w:p w14:paraId="43EBFBF6">
      <w:pPr>
        <w:ind w:firstLine="420"/>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（3）曾因在采购有关活动中从事违法行为而受过行政处罚或刑事处罚的。</w:t>
      </w:r>
    </w:p>
    <w:p w14:paraId="4F2DE2AF">
      <w:pPr>
        <w:ind w:firstLine="422"/>
        <w:rPr>
          <w:rFonts w:eastAsiaTheme="minorEastAsia"/>
          <w:b/>
          <w:bCs/>
          <w:color w:val="000000" w:themeColor="text1"/>
          <w:szCs w:val="21"/>
          <w:highlight w:val="none"/>
          <w14:textFill>
            <w14:solidFill>
              <w14:schemeClr w14:val="tx1"/>
            </w14:solidFill>
          </w14:textFill>
        </w:rPr>
      </w:pPr>
      <w:bookmarkStart w:id="120" w:name="_Toc520410604"/>
      <w:r>
        <w:rPr>
          <w:rFonts w:eastAsiaTheme="minorEastAsia"/>
          <w:b/>
          <w:bCs/>
          <w:color w:val="000000" w:themeColor="text1"/>
          <w:szCs w:val="21"/>
          <w:highlight w:val="none"/>
          <w14:textFill>
            <w14:solidFill>
              <w14:schemeClr w14:val="tx1"/>
            </w14:solidFill>
          </w14:textFill>
        </w:rPr>
        <w:t>5.5评审原则</w:t>
      </w:r>
      <w:bookmarkEnd w:id="119"/>
      <w:bookmarkEnd w:id="120"/>
    </w:p>
    <w:p w14:paraId="2E5E3701">
      <w:pPr>
        <w:ind w:firstLine="420"/>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评审活动遵循公平、公正、科学和择优的原则。</w:t>
      </w:r>
    </w:p>
    <w:p w14:paraId="6F70FCA0">
      <w:pPr>
        <w:ind w:firstLine="422"/>
        <w:rPr>
          <w:rFonts w:eastAsiaTheme="minorEastAsia"/>
          <w:b/>
          <w:bCs/>
          <w:color w:val="000000" w:themeColor="text1"/>
          <w:szCs w:val="21"/>
          <w:highlight w:val="none"/>
          <w14:textFill>
            <w14:solidFill>
              <w14:schemeClr w14:val="tx1"/>
            </w14:solidFill>
          </w14:textFill>
        </w:rPr>
      </w:pPr>
      <w:r>
        <w:rPr>
          <w:rFonts w:eastAsiaTheme="minorEastAsia"/>
          <w:b/>
          <w:bCs/>
          <w:color w:val="000000" w:themeColor="text1"/>
          <w:szCs w:val="21"/>
          <w:highlight w:val="none"/>
          <w14:textFill>
            <w14:solidFill>
              <w14:schemeClr w14:val="tx1"/>
            </w14:solidFill>
          </w14:textFill>
        </w:rPr>
        <w:t>5.6评审</w:t>
      </w:r>
    </w:p>
    <w:p w14:paraId="5C98691B">
      <w:pPr>
        <w:ind w:firstLine="420"/>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评审小组按照第三章“评审办法”规定的方法、评审因素、标准和程序对响应文件进行评审并推荐成交候选人，推荐成交候选人的人数见“供应商须知前附表”。第三章“评审办法”没有规定的方法、评审因素和标准，不作为评审依据。</w:t>
      </w:r>
    </w:p>
    <w:p w14:paraId="5E0508B3">
      <w:pPr>
        <w:pStyle w:val="5"/>
        <w:spacing w:before="0" w:after="0" w:line="400" w:lineRule="exact"/>
        <w:ind w:firstLine="0" w:firstLineChars="0"/>
        <w:rPr>
          <w:rFonts w:ascii="Times New Roman" w:hAnsi="Times New Roman" w:eastAsiaTheme="minorEastAsia"/>
          <w:b w:val="0"/>
          <w:bCs/>
          <w:color w:val="000000" w:themeColor="text1"/>
          <w:sz w:val="21"/>
          <w:szCs w:val="21"/>
          <w:highlight w:val="none"/>
          <w14:textFill>
            <w14:solidFill>
              <w14:schemeClr w14:val="tx1"/>
            </w14:solidFill>
          </w14:textFill>
        </w:rPr>
      </w:pPr>
      <w:bookmarkStart w:id="121" w:name="_Toc26505"/>
      <w:bookmarkStart w:id="122" w:name="_Toc17972"/>
      <w:bookmarkStart w:id="123" w:name="_Toc6535"/>
      <w:bookmarkStart w:id="124" w:name="_Toc25466"/>
      <w:r>
        <w:rPr>
          <w:rFonts w:ascii="Times New Roman" w:hAnsi="Times New Roman" w:eastAsiaTheme="minorEastAsia"/>
          <w:color w:val="000000" w:themeColor="text1"/>
          <w:sz w:val="21"/>
          <w:szCs w:val="21"/>
          <w:highlight w:val="none"/>
          <w14:textFill>
            <w14:solidFill>
              <w14:schemeClr w14:val="tx1"/>
            </w14:solidFill>
          </w14:textFill>
        </w:rPr>
        <w:t>六、成交结果公示</w:t>
      </w:r>
      <w:bookmarkEnd w:id="121"/>
      <w:bookmarkEnd w:id="122"/>
      <w:bookmarkEnd w:id="123"/>
      <w:bookmarkEnd w:id="124"/>
    </w:p>
    <w:p w14:paraId="022B9758">
      <w:pPr>
        <w:ind w:firstLine="422"/>
        <w:rPr>
          <w:rFonts w:eastAsiaTheme="minorEastAsia"/>
          <w:color w:val="000000" w:themeColor="text1"/>
          <w:szCs w:val="21"/>
          <w:highlight w:val="none"/>
          <w14:textFill>
            <w14:solidFill>
              <w14:schemeClr w14:val="tx1"/>
            </w14:solidFill>
          </w14:textFill>
        </w:rPr>
      </w:pPr>
      <w:r>
        <w:rPr>
          <w:rFonts w:eastAsiaTheme="minorEastAsia"/>
          <w:b/>
          <w:bCs/>
          <w:color w:val="000000" w:themeColor="text1"/>
          <w:szCs w:val="21"/>
          <w:highlight w:val="none"/>
          <w14:textFill>
            <w14:solidFill>
              <w14:schemeClr w14:val="tx1"/>
            </w14:solidFill>
          </w14:textFill>
        </w:rPr>
        <w:t>6.1</w:t>
      </w:r>
      <w:r>
        <w:rPr>
          <w:rFonts w:hint="eastAsia" w:eastAsiaTheme="minorEastAsia"/>
          <w:color w:val="000000" w:themeColor="text1"/>
          <w:szCs w:val="21"/>
          <w:highlight w:val="none"/>
          <w14:textFill>
            <w14:solidFill>
              <w14:schemeClr w14:val="tx1"/>
            </w14:solidFill>
          </w14:textFill>
        </w:rPr>
        <w:t>采购人在收到评审报告之日起3日内在徐圩新区公共资源交易服务平台发布成交供应商公示，公示期不少于3日。</w:t>
      </w:r>
    </w:p>
    <w:p w14:paraId="5D59B60D">
      <w:pPr>
        <w:ind w:firstLine="422"/>
        <w:rPr>
          <w:rFonts w:eastAsiaTheme="minorEastAsia"/>
          <w:color w:val="000000" w:themeColor="text1"/>
          <w:szCs w:val="21"/>
          <w:highlight w:val="none"/>
          <w14:textFill>
            <w14:solidFill>
              <w14:schemeClr w14:val="tx1"/>
            </w14:solidFill>
          </w14:textFill>
        </w:rPr>
      </w:pPr>
      <w:r>
        <w:rPr>
          <w:rFonts w:eastAsiaTheme="minorEastAsia"/>
          <w:b/>
          <w:bCs/>
          <w:color w:val="000000" w:themeColor="text1"/>
          <w:szCs w:val="21"/>
          <w:highlight w:val="none"/>
          <w14:textFill>
            <w14:solidFill>
              <w14:schemeClr w14:val="tx1"/>
            </w14:solidFill>
          </w14:textFill>
        </w:rPr>
        <w:t>6.2</w:t>
      </w:r>
      <w:r>
        <w:rPr>
          <w:rFonts w:eastAsiaTheme="minorEastAsia"/>
          <w:color w:val="000000" w:themeColor="text1"/>
          <w:szCs w:val="21"/>
          <w:highlight w:val="none"/>
          <w14:textFill>
            <w14:solidFill>
              <w14:schemeClr w14:val="tx1"/>
            </w14:solidFill>
          </w14:textFill>
        </w:rPr>
        <w:t>公示内容包括成交供应商名称、项目负责人（经理）、成交价格、工期及评审小组评审情况。</w:t>
      </w:r>
    </w:p>
    <w:p w14:paraId="55A9FB92">
      <w:pPr>
        <w:ind w:firstLine="422"/>
        <w:rPr>
          <w:rFonts w:eastAsiaTheme="minorEastAsia"/>
          <w:color w:val="000000" w:themeColor="text1"/>
          <w:szCs w:val="21"/>
          <w:highlight w:val="none"/>
          <w14:textFill>
            <w14:solidFill>
              <w14:schemeClr w14:val="tx1"/>
            </w14:solidFill>
          </w14:textFill>
        </w:rPr>
      </w:pPr>
      <w:r>
        <w:rPr>
          <w:rFonts w:eastAsiaTheme="minorEastAsia"/>
          <w:b/>
          <w:bCs/>
          <w:color w:val="000000" w:themeColor="text1"/>
          <w:szCs w:val="21"/>
          <w:highlight w:val="none"/>
          <w14:textFill>
            <w14:solidFill>
              <w14:schemeClr w14:val="tx1"/>
            </w14:solidFill>
          </w14:textFill>
        </w:rPr>
        <w:t>6.3</w:t>
      </w:r>
      <w:r>
        <w:rPr>
          <w:rFonts w:eastAsiaTheme="minorEastAsia"/>
          <w:color w:val="000000" w:themeColor="text1"/>
          <w:szCs w:val="21"/>
          <w:highlight w:val="none"/>
          <w14:textFill>
            <w14:solidFill>
              <w14:schemeClr w14:val="tx1"/>
            </w14:solidFill>
          </w14:textFill>
        </w:rPr>
        <w:t>供应商或者其他利害关系人对评审结果有异议的，应当在公示期间提出。采购人自收到异议之日起3日内作出答复。</w:t>
      </w:r>
    </w:p>
    <w:p w14:paraId="752501A1">
      <w:pPr>
        <w:pStyle w:val="5"/>
        <w:spacing w:before="0" w:after="0" w:line="400" w:lineRule="exact"/>
        <w:ind w:firstLine="0" w:firstLineChars="0"/>
        <w:rPr>
          <w:rFonts w:ascii="Times New Roman" w:hAnsi="Times New Roman" w:eastAsiaTheme="minorEastAsia"/>
          <w:color w:val="000000" w:themeColor="text1"/>
          <w:sz w:val="21"/>
          <w:szCs w:val="21"/>
          <w:highlight w:val="none"/>
          <w14:textFill>
            <w14:solidFill>
              <w14:schemeClr w14:val="tx1"/>
            </w14:solidFill>
          </w14:textFill>
        </w:rPr>
      </w:pPr>
      <w:bookmarkStart w:id="125" w:name="_Toc520410607"/>
      <w:bookmarkStart w:id="126" w:name="_Toc252"/>
      <w:bookmarkStart w:id="127" w:name="_Toc18259"/>
      <w:bookmarkStart w:id="128" w:name="_Toc32019"/>
      <w:bookmarkStart w:id="129" w:name="_Toc30460"/>
      <w:r>
        <w:rPr>
          <w:rFonts w:ascii="Times New Roman" w:hAnsi="Times New Roman" w:eastAsiaTheme="minorEastAsia"/>
          <w:color w:val="000000" w:themeColor="text1"/>
          <w:sz w:val="21"/>
          <w:szCs w:val="21"/>
          <w:highlight w:val="none"/>
          <w14:textFill>
            <w14:solidFill>
              <w14:schemeClr w14:val="tx1"/>
            </w14:solidFill>
          </w14:textFill>
        </w:rPr>
        <w:t>七、</w:t>
      </w:r>
      <w:bookmarkEnd w:id="125"/>
      <w:r>
        <w:rPr>
          <w:rFonts w:ascii="Times New Roman" w:hAnsi="Times New Roman" w:eastAsiaTheme="minorEastAsia"/>
          <w:color w:val="000000" w:themeColor="text1"/>
          <w:sz w:val="21"/>
          <w:szCs w:val="21"/>
          <w:highlight w:val="none"/>
          <w14:textFill>
            <w14:solidFill>
              <w14:schemeClr w14:val="tx1"/>
            </w14:solidFill>
          </w14:textFill>
        </w:rPr>
        <w:t>合同授予</w:t>
      </w:r>
      <w:bookmarkEnd w:id="126"/>
      <w:bookmarkEnd w:id="127"/>
      <w:bookmarkEnd w:id="128"/>
      <w:bookmarkEnd w:id="129"/>
    </w:p>
    <w:p w14:paraId="27BC656A">
      <w:pPr>
        <w:autoSpaceDE w:val="0"/>
        <w:autoSpaceDN w:val="0"/>
        <w:adjustRightInd w:val="0"/>
        <w:ind w:firstLine="420"/>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7.1采购人应当确定谈判评审小组推荐的第一成交候选人为成交供应商。</w:t>
      </w:r>
    </w:p>
    <w:p w14:paraId="018B6AF4">
      <w:pPr>
        <w:autoSpaceDE w:val="0"/>
        <w:autoSpaceDN w:val="0"/>
        <w:adjustRightInd w:val="0"/>
        <w:ind w:firstLine="420"/>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7.2成交结果公示期满无异议或投诉的，采购人将按有关规定及时与成交供应商订立书面合同</w:t>
      </w:r>
    </w:p>
    <w:p w14:paraId="5C92C524">
      <w:pPr>
        <w:autoSpaceDE w:val="0"/>
        <w:autoSpaceDN w:val="0"/>
        <w:adjustRightInd w:val="0"/>
        <w:ind w:firstLine="422"/>
        <w:rPr>
          <w:rFonts w:eastAsiaTheme="minorEastAsia"/>
          <w:b/>
          <w:bCs/>
          <w:color w:val="000000" w:themeColor="text1"/>
          <w:szCs w:val="21"/>
          <w:highlight w:val="none"/>
          <w14:textFill>
            <w14:solidFill>
              <w14:schemeClr w14:val="tx1"/>
            </w14:solidFill>
          </w14:textFill>
        </w:rPr>
      </w:pPr>
      <w:r>
        <w:rPr>
          <w:rFonts w:eastAsiaTheme="minorEastAsia"/>
          <w:b/>
          <w:bCs/>
          <w:color w:val="000000" w:themeColor="text1"/>
          <w:szCs w:val="21"/>
          <w:highlight w:val="none"/>
          <w14:textFill>
            <w14:solidFill>
              <w14:schemeClr w14:val="tx1"/>
            </w14:solidFill>
          </w14:textFill>
        </w:rPr>
        <w:t>7.3履约保证金</w:t>
      </w:r>
    </w:p>
    <w:p w14:paraId="05A1E042">
      <w:pPr>
        <w:autoSpaceDE w:val="0"/>
        <w:autoSpaceDN w:val="0"/>
        <w:adjustRightInd w:val="0"/>
        <w:ind w:firstLine="420"/>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7.3.1在签订合同前，成交供应商应按“供应商须知前附表”规定的金额、担保形式和谈判文件第四章“合同条款及格式”规定的履约担保格式向采购人提交履约保证金。</w:t>
      </w:r>
    </w:p>
    <w:p w14:paraId="2E24EB51">
      <w:pPr>
        <w:autoSpaceDE w:val="0"/>
        <w:autoSpaceDN w:val="0"/>
        <w:adjustRightInd w:val="0"/>
        <w:ind w:firstLine="420"/>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7.3.2成交供应商不能按本章第7.3.1项要求提交履约保证金的，视为放弃成交，其</w:t>
      </w:r>
      <w:r>
        <w:rPr>
          <w:rFonts w:hint="eastAsia" w:eastAsiaTheme="minorEastAsia"/>
          <w:color w:val="000000" w:themeColor="text1"/>
          <w:szCs w:val="21"/>
          <w:highlight w:val="none"/>
          <w14:textFill>
            <w14:solidFill>
              <w14:schemeClr w14:val="tx1"/>
            </w14:solidFill>
          </w14:textFill>
        </w:rPr>
        <w:t>谈判</w:t>
      </w:r>
      <w:r>
        <w:rPr>
          <w:rFonts w:eastAsiaTheme="minorEastAsia"/>
          <w:color w:val="000000" w:themeColor="text1"/>
          <w:szCs w:val="21"/>
          <w:highlight w:val="none"/>
          <w14:textFill>
            <w14:solidFill>
              <w14:schemeClr w14:val="tx1"/>
            </w14:solidFill>
          </w14:textFill>
        </w:rPr>
        <w:t>保证金不予退还，给采购人造成的损失超过</w:t>
      </w:r>
      <w:r>
        <w:rPr>
          <w:rFonts w:hint="eastAsia" w:eastAsiaTheme="minorEastAsia"/>
          <w:color w:val="000000" w:themeColor="text1"/>
          <w:szCs w:val="21"/>
          <w:highlight w:val="none"/>
          <w14:textFill>
            <w14:solidFill>
              <w14:schemeClr w14:val="tx1"/>
            </w14:solidFill>
          </w14:textFill>
        </w:rPr>
        <w:t>谈判</w:t>
      </w:r>
      <w:r>
        <w:rPr>
          <w:rFonts w:eastAsiaTheme="minorEastAsia"/>
          <w:color w:val="000000" w:themeColor="text1"/>
          <w:szCs w:val="21"/>
          <w:highlight w:val="none"/>
          <w14:textFill>
            <w14:solidFill>
              <w14:schemeClr w14:val="tx1"/>
            </w14:solidFill>
          </w14:textFill>
        </w:rPr>
        <w:t>保证金数额的，成交供应商还应当对超过部分予以赔偿。</w:t>
      </w:r>
    </w:p>
    <w:p w14:paraId="596443C3">
      <w:pPr>
        <w:autoSpaceDE w:val="0"/>
        <w:autoSpaceDN w:val="0"/>
        <w:adjustRightInd w:val="0"/>
        <w:ind w:firstLine="422"/>
        <w:rPr>
          <w:rFonts w:eastAsiaTheme="minorEastAsia"/>
          <w:b/>
          <w:bCs/>
          <w:color w:val="000000" w:themeColor="text1"/>
          <w:szCs w:val="21"/>
          <w:highlight w:val="none"/>
          <w14:textFill>
            <w14:solidFill>
              <w14:schemeClr w14:val="tx1"/>
            </w14:solidFill>
          </w14:textFill>
        </w:rPr>
      </w:pPr>
      <w:r>
        <w:rPr>
          <w:rFonts w:eastAsiaTheme="minorEastAsia"/>
          <w:b/>
          <w:bCs/>
          <w:color w:val="000000" w:themeColor="text1"/>
          <w:szCs w:val="21"/>
          <w:highlight w:val="none"/>
          <w14:textFill>
            <w14:solidFill>
              <w14:schemeClr w14:val="tx1"/>
            </w14:solidFill>
          </w14:textFill>
        </w:rPr>
        <w:t>7.</w:t>
      </w:r>
      <w:r>
        <w:rPr>
          <w:rFonts w:hint="eastAsia" w:eastAsiaTheme="minorEastAsia"/>
          <w:b/>
          <w:bCs/>
          <w:color w:val="000000" w:themeColor="text1"/>
          <w:szCs w:val="21"/>
          <w:highlight w:val="none"/>
          <w14:textFill>
            <w14:solidFill>
              <w14:schemeClr w14:val="tx1"/>
            </w14:solidFill>
          </w14:textFill>
        </w:rPr>
        <w:t>4</w:t>
      </w:r>
      <w:r>
        <w:rPr>
          <w:rFonts w:eastAsiaTheme="minorEastAsia"/>
          <w:b/>
          <w:bCs/>
          <w:color w:val="000000" w:themeColor="text1"/>
          <w:szCs w:val="21"/>
          <w:highlight w:val="none"/>
          <w14:textFill>
            <w14:solidFill>
              <w14:schemeClr w14:val="tx1"/>
            </w14:solidFill>
          </w14:textFill>
        </w:rPr>
        <w:t>签订合同</w:t>
      </w:r>
    </w:p>
    <w:p w14:paraId="768878A9">
      <w:pPr>
        <w:ind w:firstLine="420"/>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7.</w:t>
      </w:r>
      <w:r>
        <w:rPr>
          <w:rFonts w:hint="eastAsia" w:eastAsiaTheme="minorEastAsia"/>
          <w:color w:val="000000" w:themeColor="text1"/>
          <w:szCs w:val="21"/>
          <w:highlight w:val="none"/>
          <w14:textFill>
            <w14:solidFill>
              <w14:schemeClr w14:val="tx1"/>
            </w14:solidFill>
          </w14:textFill>
        </w:rPr>
        <w:t>4</w:t>
      </w:r>
      <w:r>
        <w:rPr>
          <w:rFonts w:eastAsiaTheme="minorEastAsia"/>
          <w:color w:val="000000" w:themeColor="text1"/>
          <w:szCs w:val="21"/>
          <w:highlight w:val="none"/>
          <w14:textFill>
            <w14:solidFill>
              <w14:schemeClr w14:val="tx1"/>
            </w14:solidFill>
          </w14:textFill>
        </w:rPr>
        <w:t>.1成交供应商公示期满无异议或投诉的，采购人将按有关规定及时与成交供应商订立书面合同。成交供应商无正当理由拒签合同的，采购人将取消其成交供应商资格，其谈判保证金不予退还；给采购人造成的损失超过谈判保证金数额的，成交供应商还应当对超过部分予以赔偿。</w:t>
      </w:r>
    </w:p>
    <w:p w14:paraId="6C89F004">
      <w:pPr>
        <w:ind w:firstLine="420"/>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7.</w:t>
      </w:r>
      <w:r>
        <w:rPr>
          <w:rFonts w:hint="eastAsia" w:eastAsiaTheme="minorEastAsia"/>
          <w:color w:val="000000" w:themeColor="text1"/>
          <w:szCs w:val="21"/>
          <w:highlight w:val="none"/>
          <w14:textFill>
            <w14:solidFill>
              <w14:schemeClr w14:val="tx1"/>
            </w14:solidFill>
          </w14:textFill>
        </w:rPr>
        <w:t>4</w:t>
      </w:r>
      <w:r>
        <w:rPr>
          <w:rFonts w:eastAsiaTheme="minorEastAsia"/>
          <w:color w:val="000000" w:themeColor="text1"/>
          <w:szCs w:val="21"/>
          <w:highlight w:val="none"/>
          <w14:textFill>
            <w14:solidFill>
              <w14:schemeClr w14:val="tx1"/>
            </w14:solidFill>
          </w14:textFill>
        </w:rPr>
        <w:t>.2</w:t>
      </w:r>
      <w:r>
        <w:rPr>
          <w:color w:val="000000"/>
          <w:szCs w:val="21"/>
          <w:highlight w:val="none"/>
        </w:rPr>
        <w:t>推荐成交供应商候选人</w:t>
      </w:r>
      <w:r>
        <w:rPr>
          <w:rFonts w:eastAsiaTheme="minorEastAsia"/>
          <w:color w:val="000000" w:themeColor="text1"/>
          <w:szCs w:val="21"/>
          <w:highlight w:val="none"/>
          <w14:textFill>
            <w14:solidFill>
              <w14:schemeClr w14:val="tx1"/>
            </w14:solidFill>
          </w14:textFill>
        </w:rPr>
        <w:t>放弃成交供应商资格，或因不可抗力提出不能履行合同，或者被查实存在影响成交结果的违法行为等情形，不符合成交条件的，采购人可以按照谈判评审小组提出的供应商候选人名单排序依次确定其他成交候选人为成交供应商或重新采购。</w:t>
      </w:r>
    </w:p>
    <w:p w14:paraId="02C9B6C7">
      <w:pPr>
        <w:ind w:firstLine="422"/>
        <w:rPr>
          <w:b/>
          <w:bCs/>
          <w:szCs w:val="21"/>
          <w:highlight w:val="none"/>
        </w:rPr>
      </w:pPr>
      <w:r>
        <w:rPr>
          <w:b/>
          <w:bCs/>
          <w:szCs w:val="21"/>
          <w:highlight w:val="none"/>
        </w:rPr>
        <w:t>7.</w:t>
      </w:r>
      <w:r>
        <w:rPr>
          <w:rFonts w:hint="eastAsia"/>
          <w:b/>
          <w:bCs/>
          <w:szCs w:val="21"/>
          <w:highlight w:val="none"/>
        </w:rPr>
        <w:t>4</w:t>
      </w:r>
      <w:r>
        <w:rPr>
          <w:b/>
          <w:bCs/>
          <w:szCs w:val="21"/>
          <w:highlight w:val="none"/>
        </w:rPr>
        <w:t>.3本项目合同采用电子签章系统。成交供应商授权委托人负责电子合同签订工作，并在成交结果公示期结束后3日内，按照《企业接收方认证及签署操作手册》（详见港控集团官网，网址为http://www.xwport.com/）完成认证工作；成交供应商应在成交结果公示后30日内完成合同签订工作。</w:t>
      </w:r>
    </w:p>
    <w:p w14:paraId="0F75A45F">
      <w:pPr>
        <w:ind w:firstLine="420"/>
        <w:rPr>
          <w:highlight w:val="none"/>
        </w:rPr>
      </w:pPr>
      <w:r>
        <w:rPr>
          <w:szCs w:val="21"/>
          <w:highlight w:val="none"/>
        </w:rPr>
        <w:t>7.</w:t>
      </w:r>
      <w:r>
        <w:rPr>
          <w:rFonts w:hint="eastAsia"/>
          <w:szCs w:val="21"/>
          <w:highlight w:val="none"/>
        </w:rPr>
        <w:t>4</w:t>
      </w:r>
      <w:r>
        <w:rPr>
          <w:szCs w:val="21"/>
          <w:highlight w:val="none"/>
        </w:rPr>
        <w:t>.</w:t>
      </w:r>
      <w:r>
        <w:rPr>
          <w:rFonts w:hint="eastAsia"/>
          <w:szCs w:val="21"/>
          <w:highlight w:val="none"/>
        </w:rPr>
        <w:t>4</w:t>
      </w:r>
      <w:r>
        <w:rPr>
          <w:szCs w:val="21"/>
          <w:highlight w:val="none"/>
        </w:rPr>
        <w:t>成交供应商无正当理由拒签合同或未在规定时间内签订合同的，采购人有权取消其成交供应商资格，</w:t>
      </w:r>
      <w:r>
        <w:rPr>
          <w:rFonts w:hint="eastAsia"/>
          <w:szCs w:val="21"/>
          <w:highlight w:val="none"/>
        </w:rPr>
        <w:t>谈判</w:t>
      </w:r>
      <w:r>
        <w:rPr>
          <w:szCs w:val="21"/>
          <w:highlight w:val="none"/>
        </w:rPr>
        <w:t>保证金不予退还；给采购人造成的损失超过保证金数额的，拟成交供应商还应当对超过部分予以赔偿。</w:t>
      </w:r>
    </w:p>
    <w:p w14:paraId="2F2F8D35">
      <w:pPr>
        <w:ind w:firstLine="420"/>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7.</w:t>
      </w:r>
      <w:r>
        <w:rPr>
          <w:rFonts w:hint="eastAsia" w:eastAsiaTheme="minorEastAsia"/>
          <w:color w:val="000000" w:themeColor="text1"/>
          <w:szCs w:val="21"/>
          <w:highlight w:val="none"/>
          <w14:textFill>
            <w14:solidFill>
              <w14:schemeClr w14:val="tx1"/>
            </w14:solidFill>
          </w14:textFill>
        </w:rPr>
        <w:t>4</w:t>
      </w:r>
      <w:r>
        <w:rPr>
          <w:rFonts w:eastAsiaTheme="minorEastAsia"/>
          <w:color w:val="000000" w:themeColor="text1"/>
          <w:szCs w:val="21"/>
          <w:highlight w:val="none"/>
          <w14:textFill>
            <w14:solidFill>
              <w14:schemeClr w14:val="tx1"/>
            </w14:solidFill>
          </w14:textFill>
        </w:rPr>
        <w:t>.</w:t>
      </w:r>
      <w:r>
        <w:rPr>
          <w:rFonts w:hint="eastAsia" w:eastAsiaTheme="minorEastAsia"/>
          <w:color w:val="000000" w:themeColor="text1"/>
          <w:szCs w:val="21"/>
          <w:highlight w:val="none"/>
          <w14:textFill>
            <w14:solidFill>
              <w14:schemeClr w14:val="tx1"/>
            </w14:solidFill>
          </w14:textFill>
        </w:rPr>
        <w:t>5</w:t>
      </w:r>
      <w:r>
        <w:rPr>
          <w:rFonts w:eastAsiaTheme="minorEastAsia"/>
          <w:color w:val="000000" w:themeColor="text1"/>
          <w:szCs w:val="21"/>
          <w:highlight w:val="none"/>
          <w14:textFill>
            <w14:solidFill>
              <w14:schemeClr w14:val="tx1"/>
            </w14:solidFill>
          </w14:textFill>
        </w:rPr>
        <w:t>签订合同时，项目经理部主要管理人员须在合同中明确，未经采购人同意，不得更换项目部主要管理人员。</w:t>
      </w:r>
    </w:p>
    <w:p w14:paraId="4E48F9AD">
      <w:pPr>
        <w:pStyle w:val="5"/>
        <w:spacing w:before="0" w:after="0" w:line="400" w:lineRule="exact"/>
        <w:ind w:firstLine="0" w:firstLineChars="0"/>
        <w:rPr>
          <w:rFonts w:ascii="Times New Roman" w:hAnsi="Times New Roman" w:eastAsiaTheme="minorEastAsia"/>
          <w:sz w:val="21"/>
          <w:szCs w:val="21"/>
          <w:highlight w:val="none"/>
        </w:rPr>
      </w:pPr>
      <w:bookmarkStart w:id="130" w:name="_Toc19729"/>
      <w:bookmarkStart w:id="131" w:name="_Toc9206"/>
      <w:bookmarkStart w:id="132" w:name="_Toc35"/>
      <w:r>
        <w:rPr>
          <w:rFonts w:ascii="Times New Roman" w:hAnsi="Times New Roman" w:eastAsiaTheme="minorEastAsia"/>
          <w:sz w:val="21"/>
          <w:szCs w:val="21"/>
          <w:highlight w:val="none"/>
        </w:rPr>
        <w:t>八、纪律和监督</w:t>
      </w:r>
      <w:bookmarkEnd w:id="111"/>
      <w:bookmarkEnd w:id="112"/>
      <w:bookmarkEnd w:id="130"/>
      <w:bookmarkEnd w:id="131"/>
      <w:bookmarkEnd w:id="132"/>
    </w:p>
    <w:p w14:paraId="609F505D">
      <w:pPr>
        <w:ind w:firstLine="422"/>
        <w:rPr>
          <w:rFonts w:eastAsiaTheme="minorEastAsia"/>
          <w:b/>
          <w:bCs/>
          <w:szCs w:val="21"/>
          <w:highlight w:val="none"/>
        </w:rPr>
      </w:pPr>
      <w:bookmarkStart w:id="133" w:name="_Toc389065193"/>
      <w:bookmarkStart w:id="134" w:name="_Toc520410613"/>
      <w:r>
        <w:rPr>
          <w:rFonts w:eastAsiaTheme="minorEastAsia"/>
          <w:b/>
          <w:bCs/>
          <w:szCs w:val="21"/>
          <w:highlight w:val="none"/>
        </w:rPr>
        <w:t>8.1对采购人的纪律要求</w:t>
      </w:r>
      <w:bookmarkEnd w:id="133"/>
      <w:bookmarkEnd w:id="134"/>
    </w:p>
    <w:p w14:paraId="5ADAFCEA">
      <w:pPr>
        <w:ind w:firstLine="420"/>
        <w:rPr>
          <w:rFonts w:eastAsiaTheme="minorEastAsia"/>
          <w:szCs w:val="21"/>
          <w:highlight w:val="none"/>
        </w:rPr>
      </w:pPr>
      <w:r>
        <w:rPr>
          <w:rFonts w:eastAsiaTheme="minorEastAsia"/>
          <w:szCs w:val="21"/>
          <w:highlight w:val="none"/>
        </w:rPr>
        <w:t>采购人不得泄漏采购活动中应当保密的情况和资料，不得与供应商串通损害国家利益、社会公共利益或者他人合法权益。</w:t>
      </w:r>
    </w:p>
    <w:p w14:paraId="1E2583E3">
      <w:pPr>
        <w:ind w:firstLine="422"/>
        <w:rPr>
          <w:rFonts w:eastAsiaTheme="minorEastAsia"/>
          <w:szCs w:val="21"/>
          <w:highlight w:val="none"/>
        </w:rPr>
      </w:pPr>
      <w:bookmarkStart w:id="135" w:name="_Toc520410614"/>
      <w:r>
        <w:rPr>
          <w:rFonts w:eastAsiaTheme="minorEastAsia"/>
          <w:b/>
          <w:bCs/>
          <w:szCs w:val="21"/>
          <w:highlight w:val="none"/>
        </w:rPr>
        <w:t>8.2对供应商的纪律要求</w:t>
      </w:r>
      <w:bookmarkEnd w:id="135"/>
    </w:p>
    <w:p w14:paraId="20415E01">
      <w:pPr>
        <w:ind w:firstLine="422"/>
        <w:rPr>
          <w:rFonts w:eastAsiaTheme="minorEastAsia"/>
          <w:b/>
          <w:bCs/>
          <w:color w:val="FF0000"/>
          <w:szCs w:val="21"/>
          <w:highlight w:val="none"/>
        </w:rPr>
      </w:pPr>
      <w:bookmarkStart w:id="136" w:name="_Toc520410615"/>
      <w:bookmarkStart w:id="137" w:name="_Toc389065194"/>
      <w:r>
        <w:rPr>
          <w:rFonts w:eastAsiaTheme="minorEastAsia"/>
          <w:b/>
          <w:bCs/>
          <w:color w:val="FF0000"/>
          <w:szCs w:val="21"/>
          <w:highlight w:val="none"/>
        </w:rPr>
        <w:t>8.2.1供应商不得相互串通参与谈判或者与采购人串通参加谈判，供应商有下列情形之一的，直接视为串通投标。</w:t>
      </w:r>
    </w:p>
    <w:p w14:paraId="06C00B3B">
      <w:pPr>
        <w:ind w:firstLine="422"/>
        <w:rPr>
          <w:rFonts w:eastAsiaTheme="minorEastAsia"/>
          <w:b/>
          <w:bCs/>
          <w:color w:val="FF0000"/>
          <w:szCs w:val="21"/>
          <w:highlight w:val="none"/>
        </w:rPr>
      </w:pPr>
      <w:r>
        <w:rPr>
          <w:rFonts w:eastAsiaTheme="minorEastAsia"/>
          <w:b/>
          <w:bCs/>
          <w:color w:val="FF0000"/>
          <w:szCs w:val="21"/>
          <w:highlight w:val="none"/>
        </w:rPr>
        <w:t>（1）不同供应商的响应文件内容异常一致；</w:t>
      </w:r>
    </w:p>
    <w:p w14:paraId="107B991F">
      <w:pPr>
        <w:ind w:firstLine="422"/>
        <w:rPr>
          <w:rFonts w:eastAsiaTheme="minorEastAsia"/>
          <w:b/>
          <w:bCs/>
          <w:color w:val="FF0000"/>
          <w:szCs w:val="21"/>
          <w:highlight w:val="none"/>
        </w:rPr>
      </w:pPr>
      <w:r>
        <w:rPr>
          <w:rFonts w:eastAsiaTheme="minorEastAsia"/>
          <w:b/>
          <w:bCs/>
          <w:color w:val="FF0000"/>
          <w:szCs w:val="21"/>
          <w:highlight w:val="none"/>
        </w:rPr>
        <w:t>（2）不同供应商的报价或报价组成多处异常且一致或呈现规律性变化；</w:t>
      </w:r>
    </w:p>
    <w:p w14:paraId="70AE0710">
      <w:pPr>
        <w:ind w:firstLine="422"/>
        <w:rPr>
          <w:rFonts w:eastAsiaTheme="minorEastAsia"/>
          <w:b/>
          <w:bCs/>
          <w:color w:val="FF0000"/>
          <w:szCs w:val="21"/>
          <w:highlight w:val="none"/>
        </w:rPr>
      </w:pPr>
      <w:r>
        <w:rPr>
          <w:rFonts w:eastAsiaTheme="minorEastAsia"/>
          <w:b/>
          <w:bCs/>
          <w:color w:val="FF0000"/>
          <w:szCs w:val="21"/>
          <w:highlight w:val="none"/>
        </w:rPr>
        <w:t>（3）不同供应商的响应文件内容错漏之处（3处以上）一致；</w:t>
      </w:r>
    </w:p>
    <w:p w14:paraId="5F51D19E">
      <w:pPr>
        <w:ind w:firstLine="422"/>
        <w:rPr>
          <w:rFonts w:eastAsiaTheme="minorEastAsia"/>
          <w:b/>
          <w:bCs/>
          <w:color w:val="FF0000"/>
          <w:szCs w:val="21"/>
          <w:highlight w:val="none"/>
        </w:rPr>
      </w:pPr>
      <w:r>
        <w:rPr>
          <w:rFonts w:eastAsiaTheme="minorEastAsia"/>
          <w:b/>
          <w:bCs/>
          <w:color w:val="FF0000"/>
          <w:szCs w:val="21"/>
          <w:highlight w:val="none"/>
        </w:rPr>
        <w:t>（4）不同供应商的响应文件载明的法定代表人或授权委托人或项目组成员为同一人；</w:t>
      </w:r>
    </w:p>
    <w:p w14:paraId="60E38E50">
      <w:pPr>
        <w:ind w:firstLine="422"/>
        <w:rPr>
          <w:rFonts w:eastAsiaTheme="minorEastAsia"/>
          <w:b/>
          <w:bCs/>
          <w:color w:val="FF0000"/>
          <w:szCs w:val="21"/>
          <w:highlight w:val="none"/>
        </w:rPr>
      </w:pPr>
      <w:r>
        <w:rPr>
          <w:rFonts w:eastAsiaTheme="minorEastAsia"/>
          <w:b/>
          <w:bCs/>
          <w:color w:val="FF0000"/>
          <w:szCs w:val="21"/>
          <w:highlight w:val="none"/>
        </w:rPr>
        <w:t>（5）不同供应商的响应文件由同一单位或个人编制；</w:t>
      </w:r>
    </w:p>
    <w:p w14:paraId="14D76CD4">
      <w:pPr>
        <w:ind w:firstLine="422"/>
        <w:rPr>
          <w:rFonts w:eastAsiaTheme="minorEastAsia"/>
          <w:b/>
          <w:bCs/>
          <w:color w:val="FF0000"/>
          <w:szCs w:val="21"/>
          <w:highlight w:val="none"/>
        </w:rPr>
      </w:pPr>
      <w:r>
        <w:rPr>
          <w:rFonts w:eastAsiaTheme="minorEastAsia"/>
          <w:b/>
          <w:bCs/>
          <w:color w:val="FF0000"/>
          <w:szCs w:val="21"/>
          <w:highlight w:val="none"/>
        </w:rPr>
        <w:t>（6）不同供应商的响应文件相互混装；</w:t>
      </w:r>
    </w:p>
    <w:p w14:paraId="2776CBB9">
      <w:pPr>
        <w:ind w:firstLine="422"/>
        <w:rPr>
          <w:rFonts w:eastAsiaTheme="minorEastAsia"/>
          <w:b/>
          <w:bCs/>
          <w:color w:val="FF0000"/>
          <w:szCs w:val="21"/>
          <w:highlight w:val="none"/>
        </w:rPr>
      </w:pPr>
      <w:r>
        <w:rPr>
          <w:rFonts w:eastAsiaTheme="minorEastAsia"/>
          <w:b/>
          <w:bCs/>
          <w:color w:val="FF0000"/>
          <w:szCs w:val="21"/>
          <w:highlight w:val="none"/>
        </w:rPr>
        <w:t>（7）不同</w:t>
      </w:r>
      <w:r>
        <w:rPr>
          <w:rFonts w:hint="eastAsia" w:eastAsiaTheme="minorEastAsia"/>
          <w:b/>
          <w:bCs/>
          <w:color w:val="FF0000"/>
          <w:szCs w:val="21"/>
          <w:highlight w:val="none"/>
        </w:rPr>
        <w:t>供应商的响应文件提交的IP地址一致，且不能提供充分证据证明未串通投标的；</w:t>
      </w:r>
    </w:p>
    <w:p w14:paraId="13722F5B">
      <w:pPr>
        <w:ind w:firstLine="422"/>
        <w:rPr>
          <w:rFonts w:eastAsiaTheme="minorEastAsia"/>
          <w:b/>
          <w:bCs/>
          <w:color w:val="FF0000"/>
          <w:szCs w:val="21"/>
          <w:highlight w:val="none"/>
        </w:rPr>
      </w:pPr>
      <w:r>
        <w:rPr>
          <w:rFonts w:eastAsiaTheme="minorEastAsia"/>
          <w:b/>
          <w:bCs/>
          <w:color w:val="FF0000"/>
          <w:szCs w:val="21"/>
          <w:highlight w:val="none"/>
        </w:rPr>
        <w:t>（8）不同供应商授权委托同一人参与采购活动；</w:t>
      </w:r>
    </w:p>
    <w:p w14:paraId="1E8F83E9">
      <w:pPr>
        <w:ind w:firstLine="422"/>
        <w:rPr>
          <w:rFonts w:eastAsiaTheme="minorEastAsia"/>
          <w:b/>
          <w:bCs/>
          <w:color w:val="FF0000"/>
          <w:szCs w:val="21"/>
          <w:highlight w:val="none"/>
        </w:rPr>
      </w:pPr>
      <w:r>
        <w:rPr>
          <w:rFonts w:eastAsiaTheme="minorEastAsia"/>
          <w:b/>
          <w:bCs/>
          <w:color w:val="FF0000"/>
          <w:szCs w:val="21"/>
          <w:highlight w:val="none"/>
        </w:rPr>
        <w:t>（9）不同供应商的采购活动保证金由同一单位或个人账户转出；</w:t>
      </w:r>
    </w:p>
    <w:p w14:paraId="02C450EC">
      <w:pPr>
        <w:ind w:firstLine="422"/>
        <w:rPr>
          <w:rFonts w:eastAsiaTheme="minorEastAsia"/>
          <w:b/>
          <w:bCs/>
          <w:color w:val="FF0000"/>
          <w:szCs w:val="21"/>
          <w:highlight w:val="none"/>
        </w:rPr>
      </w:pPr>
      <w:r>
        <w:rPr>
          <w:rFonts w:eastAsiaTheme="minorEastAsia"/>
          <w:b/>
          <w:bCs/>
          <w:color w:val="FF0000"/>
          <w:szCs w:val="21"/>
          <w:highlight w:val="none"/>
        </w:rPr>
        <w:t>（10）不同供应商聘请同一人为其参与采购活动提供技术或</w:t>
      </w:r>
      <w:r>
        <w:rPr>
          <w:rFonts w:hint="eastAsia" w:eastAsiaTheme="minorEastAsia"/>
          <w:b/>
          <w:bCs/>
          <w:color w:val="FF0000"/>
          <w:szCs w:val="21"/>
          <w:highlight w:val="none"/>
        </w:rPr>
        <w:t>服务</w:t>
      </w:r>
      <w:r>
        <w:rPr>
          <w:rFonts w:eastAsiaTheme="minorEastAsia"/>
          <w:b/>
          <w:bCs/>
          <w:color w:val="FF0000"/>
          <w:szCs w:val="21"/>
          <w:highlight w:val="none"/>
        </w:rPr>
        <w:t>（采购活动特殊要求的除外）；</w:t>
      </w:r>
    </w:p>
    <w:p w14:paraId="406127F4">
      <w:pPr>
        <w:ind w:firstLine="422"/>
        <w:rPr>
          <w:rFonts w:eastAsiaTheme="minorEastAsia"/>
          <w:b/>
          <w:bCs/>
          <w:color w:val="FF0000"/>
          <w:szCs w:val="21"/>
          <w:highlight w:val="none"/>
        </w:rPr>
      </w:pPr>
      <w:r>
        <w:rPr>
          <w:rFonts w:eastAsiaTheme="minorEastAsia"/>
          <w:b/>
          <w:bCs/>
          <w:color w:val="FF0000"/>
          <w:szCs w:val="21"/>
          <w:highlight w:val="none"/>
        </w:rPr>
        <w:t>（11）其他串标、围标情形。</w:t>
      </w:r>
    </w:p>
    <w:p w14:paraId="6A469AA6">
      <w:pPr>
        <w:ind w:firstLine="422"/>
        <w:rPr>
          <w:rFonts w:eastAsiaTheme="minorEastAsia"/>
          <w:szCs w:val="21"/>
          <w:highlight w:val="none"/>
        </w:rPr>
      </w:pPr>
      <w:r>
        <w:rPr>
          <w:rFonts w:hint="eastAsia" w:eastAsiaTheme="minorEastAsia"/>
          <w:b/>
          <w:bCs/>
          <w:color w:val="FF0000"/>
          <w:szCs w:val="21"/>
          <w:highlight w:val="none"/>
        </w:rPr>
        <w:t>注：不同供应商之间若存在IP地址一致的情形，采购人（代理机构）将向相关供应商发出澄清通知，相关供应商应在1个工作日内，提交充分证据证明其未串通投标（供应商自身出具的情况说明类材料不属于证据范畴）供评审小组评审和认定，评审开始后采购人将不再接受其它相关证据。若未按要求提供或提供的证据不能充分证明其未参与串通投标，则否决其投标。</w:t>
      </w:r>
    </w:p>
    <w:p w14:paraId="31A7CF70">
      <w:pPr>
        <w:ind w:firstLine="420"/>
        <w:rPr>
          <w:rFonts w:eastAsiaTheme="minorEastAsia"/>
          <w:szCs w:val="21"/>
          <w:highlight w:val="none"/>
        </w:rPr>
      </w:pPr>
      <w:r>
        <w:rPr>
          <w:rFonts w:eastAsiaTheme="minorEastAsia"/>
          <w:szCs w:val="21"/>
          <w:highlight w:val="none"/>
        </w:rPr>
        <w:t>8.2.2供应商不得向采购人或者谈判评审小组成员行贿谋取成交，不得以他人名义参加谈判或者以其他方式弄虚作假骗取成交</w:t>
      </w:r>
      <w:r>
        <w:rPr>
          <w:rFonts w:hint="eastAsia" w:eastAsiaTheme="minorEastAsia"/>
          <w:szCs w:val="21"/>
          <w:highlight w:val="none"/>
        </w:rPr>
        <w:t>。</w:t>
      </w:r>
    </w:p>
    <w:p w14:paraId="0DCDBC34">
      <w:pPr>
        <w:ind w:firstLine="420"/>
        <w:rPr>
          <w:highlight w:val="none"/>
        </w:rPr>
      </w:pPr>
      <w:r>
        <w:rPr>
          <w:rFonts w:eastAsiaTheme="minorEastAsia"/>
          <w:szCs w:val="21"/>
          <w:highlight w:val="none"/>
        </w:rPr>
        <w:t>8.2.3供应商不得以任何方式干扰、影响评审工作。在响应文件的审查、澄清、评价和比较以及授予合同过程中，供应商对采购人和评审小组成员施加影响的任何行为，都将导致取消其成交供应商资格。</w:t>
      </w:r>
    </w:p>
    <w:p w14:paraId="28B9D96E">
      <w:pPr>
        <w:ind w:firstLine="422"/>
        <w:rPr>
          <w:rFonts w:eastAsiaTheme="minorEastAsia"/>
          <w:b/>
          <w:bCs/>
          <w:szCs w:val="21"/>
          <w:highlight w:val="none"/>
        </w:rPr>
      </w:pPr>
      <w:r>
        <w:rPr>
          <w:rFonts w:eastAsiaTheme="minorEastAsia"/>
          <w:b/>
          <w:bCs/>
          <w:szCs w:val="21"/>
          <w:highlight w:val="none"/>
        </w:rPr>
        <w:t>8.3对谈判评审小组成员的纪律要求</w:t>
      </w:r>
      <w:bookmarkEnd w:id="136"/>
      <w:bookmarkEnd w:id="137"/>
    </w:p>
    <w:p w14:paraId="7CD70FD3">
      <w:pPr>
        <w:ind w:firstLine="420"/>
        <w:rPr>
          <w:rFonts w:eastAsiaTheme="minorEastAsia"/>
          <w:szCs w:val="21"/>
          <w:highlight w:val="none"/>
        </w:rPr>
      </w:pPr>
      <w:r>
        <w:rPr>
          <w:rFonts w:eastAsiaTheme="minorEastAsia"/>
          <w:szCs w:val="21"/>
          <w:highlight w:val="none"/>
        </w:rPr>
        <w:t>谈判评审小组成员不得收受他人的财物或者其他好处，不得向他人透漏对响应文件的评审和比较、成交供应商的推荐情况以及评审有关的其他情况。在评审活动中，谈判评审小组成员不得擅离职守，影响评审程序正常进行，不得使用第</w:t>
      </w:r>
      <w:r>
        <w:rPr>
          <w:rFonts w:hint="eastAsia" w:eastAsiaTheme="minorEastAsia"/>
          <w:szCs w:val="21"/>
          <w:highlight w:val="none"/>
        </w:rPr>
        <w:t>三</w:t>
      </w:r>
      <w:r>
        <w:rPr>
          <w:rFonts w:eastAsiaTheme="minorEastAsia"/>
          <w:szCs w:val="21"/>
          <w:highlight w:val="none"/>
        </w:rPr>
        <w:t>章“评审办法”没有规定的评审因素和标准进行评审。</w:t>
      </w:r>
    </w:p>
    <w:p w14:paraId="6186FAB3">
      <w:pPr>
        <w:ind w:firstLine="422"/>
        <w:rPr>
          <w:rFonts w:eastAsiaTheme="minorEastAsia"/>
          <w:szCs w:val="21"/>
          <w:highlight w:val="none"/>
        </w:rPr>
      </w:pPr>
      <w:bookmarkStart w:id="138" w:name="_Toc520410616"/>
      <w:bookmarkStart w:id="139" w:name="_Toc389065195"/>
      <w:r>
        <w:rPr>
          <w:rFonts w:eastAsiaTheme="minorEastAsia"/>
          <w:b/>
          <w:bCs/>
          <w:szCs w:val="21"/>
          <w:highlight w:val="none"/>
        </w:rPr>
        <w:t>8.4对与评审活动有关的工作人员的纪律要求</w:t>
      </w:r>
      <w:bookmarkEnd w:id="138"/>
      <w:bookmarkEnd w:id="139"/>
    </w:p>
    <w:p w14:paraId="124C9858">
      <w:pPr>
        <w:ind w:firstLine="420"/>
        <w:rPr>
          <w:rFonts w:eastAsiaTheme="minorEastAsia"/>
          <w:szCs w:val="21"/>
          <w:highlight w:val="none"/>
        </w:rPr>
      </w:pPr>
      <w:r>
        <w:rPr>
          <w:rFonts w:eastAsiaTheme="minorEastAsia"/>
          <w:szCs w:val="21"/>
          <w:highlight w:val="none"/>
        </w:rPr>
        <w:t>与评审活动有关的工作人员不得收受他人的财物或者其他好处，不得向他人透漏对响应文件的评审和比较、成交供应商的推荐情况以及评审有关的其他情况。在评审活动中，与评审活动有关的工作人员不得擅离职守，影响评审程序正常进行。</w:t>
      </w:r>
      <w:bookmarkStart w:id="140" w:name="_Toc389065196"/>
    </w:p>
    <w:p w14:paraId="1F7D305A">
      <w:pPr>
        <w:ind w:firstLine="422"/>
        <w:rPr>
          <w:rFonts w:eastAsiaTheme="minorEastAsia"/>
          <w:szCs w:val="21"/>
          <w:highlight w:val="none"/>
        </w:rPr>
      </w:pPr>
      <w:bookmarkStart w:id="141" w:name="_Toc520410617"/>
      <w:r>
        <w:rPr>
          <w:rFonts w:eastAsiaTheme="minorEastAsia"/>
          <w:b/>
          <w:bCs/>
          <w:szCs w:val="21"/>
          <w:highlight w:val="none"/>
        </w:rPr>
        <w:t>8.5异议与投诉</w:t>
      </w:r>
      <w:bookmarkEnd w:id="140"/>
      <w:bookmarkEnd w:id="141"/>
      <w:bookmarkStart w:id="142" w:name="_Toc389065197"/>
    </w:p>
    <w:bookmarkEnd w:id="142"/>
    <w:p w14:paraId="20B4B202">
      <w:pPr>
        <w:ind w:firstLine="420"/>
        <w:rPr>
          <w:rFonts w:eastAsiaTheme="minorEastAsia"/>
          <w:color w:val="000000" w:themeColor="text1"/>
          <w:szCs w:val="21"/>
          <w:highlight w:val="none"/>
          <w14:textFill>
            <w14:solidFill>
              <w14:schemeClr w14:val="tx1"/>
            </w14:solidFill>
          </w14:textFill>
        </w:rPr>
      </w:pPr>
      <w:bookmarkStart w:id="143" w:name="_Toc520410618"/>
      <w:r>
        <w:rPr>
          <w:rFonts w:eastAsiaTheme="minorEastAsia"/>
          <w:color w:val="000000" w:themeColor="text1"/>
          <w:szCs w:val="21"/>
          <w:highlight w:val="none"/>
          <w14:textFill>
            <w14:solidFill>
              <w14:schemeClr w14:val="tx1"/>
            </w14:solidFill>
          </w14:textFill>
        </w:rPr>
        <w:t>8.5.1供应商或者其他利害关系人对采购项目谈判文件有异议的，应当在提交响应文件截止时间2日前提出。采购人或代理机构应当自收到异议之日起3日内作出答复；作出答复前，应当暂停采购活动。</w:t>
      </w:r>
    </w:p>
    <w:p w14:paraId="4F1DAAE0">
      <w:pPr>
        <w:ind w:firstLine="420"/>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8.5.2供应商或者其他利害关系人对采购项目的评审结果有异议的，应当在成交结果公示期间提出。采购人或代理机构应当自收到异议之日起3日内作出答复；作出答复前，应当暂停采购活动。</w:t>
      </w:r>
    </w:p>
    <w:p w14:paraId="40313D66">
      <w:pPr>
        <w:ind w:firstLine="420"/>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8.5.3供应商或其他利害关系人认为本次采购活动违反法律、法规和规章规定的，可以在知道或者应当知道之日起10日内向采购活动监督管理部门（见供应商须知前附表）提出书面投诉。投诉应当有明确的请求和必要的证明材料。就第8.5.1项、8.5.2项规定事项提出投诉的，应先向采购人提出异议。</w:t>
      </w:r>
    </w:p>
    <w:p w14:paraId="3C0D4CB8">
      <w:pPr>
        <w:ind w:firstLine="420"/>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8.5.4异议时应当提出而未提出的事项，投诉时不予受理；异议、投诉的提出及后续处理须由供应商确定的授权委托代表全程参与，转委托无效。采购人可根据实际情况约谈提出异议、投诉供应商的法定代表人。</w:t>
      </w:r>
    </w:p>
    <w:p w14:paraId="65450070">
      <w:pPr>
        <w:ind w:firstLine="420"/>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8.5.5除8.5.1、8.5.2、8.5.3、8.5.4条要求外，异议与投诉的提出和处理程序应当按照《徐圩新区国有资金采购活动异议和投诉处理操作规则》（可在“徐圩新区公共资源交易服务平台”下载相关材料）相关要求执行。</w:t>
      </w:r>
    </w:p>
    <w:p w14:paraId="232EC179">
      <w:pPr>
        <w:pStyle w:val="5"/>
        <w:spacing w:before="0" w:after="0" w:line="400" w:lineRule="exact"/>
        <w:ind w:firstLine="0" w:firstLineChars="0"/>
        <w:rPr>
          <w:rFonts w:ascii="Times New Roman" w:hAnsi="Times New Roman" w:eastAsiaTheme="minorEastAsia"/>
          <w:sz w:val="21"/>
          <w:szCs w:val="21"/>
          <w:highlight w:val="none"/>
        </w:rPr>
      </w:pPr>
      <w:bookmarkStart w:id="144" w:name="_Toc883"/>
      <w:bookmarkStart w:id="145" w:name="_Toc16491"/>
      <w:bookmarkStart w:id="146" w:name="_Toc6812"/>
      <w:r>
        <w:rPr>
          <w:rFonts w:ascii="Times New Roman" w:hAnsi="Times New Roman" w:eastAsiaTheme="minorEastAsia"/>
          <w:sz w:val="21"/>
          <w:szCs w:val="21"/>
          <w:highlight w:val="none"/>
        </w:rPr>
        <w:t>九、解释权</w:t>
      </w:r>
      <w:bookmarkEnd w:id="143"/>
      <w:bookmarkEnd w:id="144"/>
      <w:bookmarkEnd w:id="145"/>
      <w:bookmarkEnd w:id="146"/>
    </w:p>
    <w:p w14:paraId="53C1114D">
      <w:pPr>
        <w:ind w:firstLine="420"/>
        <w:rPr>
          <w:rFonts w:eastAsiaTheme="minorEastAsia"/>
          <w:szCs w:val="21"/>
          <w:highlight w:val="none"/>
        </w:rPr>
      </w:pPr>
      <w:r>
        <w:rPr>
          <w:rFonts w:eastAsiaTheme="minorEastAsia"/>
          <w:szCs w:val="21"/>
          <w:highlight w:val="none"/>
        </w:rPr>
        <w:t>构成本谈判文件的各个组成文件应互为解释，互为说明；如有不明确或不一致，构成合同文件组成内容的，以合同文件约定内容为准，且以专用合同条款约定的合同文件优先顺序解释；除谈判文件中有特别规定外，仅适用于采购阶段的规定，按谈判公告、供应商须知、评审办法、响应文件格式的先后顺序解释；同一组成文件中就同一事项的规定或约定不一致的，以编排顺序在后者为准；同一组成文件不同版本之间有不一致的，以形成时间在后者为准。按本款前述规定仍不能形成结论的，由采购人负责解释。</w:t>
      </w:r>
    </w:p>
    <w:p w14:paraId="30C1A8B7">
      <w:pPr>
        <w:pStyle w:val="5"/>
        <w:spacing w:before="0" w:after="0" w:line="400" w:lineRule="exact"/>
        <w:ind w:firstLine="0" w:firstLineChars="0"/>
        <w:rPr>
          <w:rFonts w:ascii="Times New Roman" w:hAnsi="Times New Roman" w:eastAsiaTheme="minorEastAsia"/>
          <w:sz w:val="21"/>
          <w:szCs w:val="21"/>
          <w:highlight w:val="none"/>
        </w:rPr>
      </w:pPr>
      <w:bookmarkStart w:id="147" w:name="_Toc8363"/>
      <w:bookmarkStart w:id="148" w:name="_Toc520410619"/>
      <w:bookmarkStart w:id="149" w:name="_Toc26271"/>
      <w:bookmarkStart w:id="150" w:name="_Toc26263"/>
      <w:r>
        <w:rPr>
          <w:rFonts w:ascii="Times New Roman" w:hAnsi="Times New Roman" w:eastAsiaTheme="minorEastAsia"/>
          <w:sz w:val="21"/>
          <w:szCs w:val="21"/>
          <w:highlight w:val="none"/>
        </w:rPr>
        <w:t>十、采购人补充的其他内容</w:t>
      </w:r>
      <w:bookmarkEnd w:id="147"/>
      <w:bookmarkEnd w:id="148"/>
      <w:bookmarkEnd w:id="149"/>
      <w:bookmarkEnd w:id="150"/>
    </w:p>
    <w:p w14:paraId="107243FC">
      <w:pPr>
        <w:ind w:firstLine="420"/>
        <w:rPr>
          <w:bCs/>
          <w:szCs w:val="21"/>
          <w:highlight w:val="none"/>
        </w:rPr>
      </w:pPr>
      <w:bookmarkStart w:id="151" w:name="_Toc12025629"/>
      <w:r>
        <w:rPr>
          <w:bCs/>
          <w:szCs w:val="21"/>
          <w:highlight w:val="none"/>
        </w:rPr>
        <w:t>详见“供应商须知前附表”。</w:t>
      </w:r>
    </w:p>
    <w:p w14:paraId="0AA6C350">
      <w:pPr>
        <w:ind w:firstLine="420"/>
        <w:rPr>
          <w:bCs/>
          <w:szCs w:val="21"/>
          <w:highlight w:val="none"/>
        </w:rPr>
      </w:pPr>
      <w:r>
        <w:rPr>
          <w:bCs/>
          <w:szCs w:val="21"/>
          <w:highlight w:val="none"/>
        </w:rPr>
        <w:br w:type="page"/>
      </w:r>
    </w:p>
    <w:bookmarkEnd w:id="151"/>
    <w:p w14:paraId="3A9F8059">
      <w:pPr>
        <w:pStyle w:val="4"/>
        <w:keepNext w:val="0"/>
        <w:snapToGrid w:val="0"/>
        <w:spacing w:before="300" w:after="200" w:line="400" w:lineRule="atLeast"/>
        <w:ind w:firstLine="0" w:firstLineChars="0"/>
        <w:jc w:val="center"/>
        <w:rPr>
          <w:rFonts w:ascii="Times New Roman" w:hAnsi="Times New Roman" w:eastAsiaTheme="majorEastAsia"/>
          <w:bCs/>
          <w:kern w:val="2"/>
          <w:szCs w:val="36"/>
          <w:highlight w:val="none"/>
        </w:rPr>
      </w:pPr>
      <w:bookmarkStart w:id="152" w:name="_Toc607"/>
      <w:bookmarkStart w:id="153" w:name="_Toc13433"/>
      <w:bookmarkStart w:id="154" w:name="_Toc14561"/>
      <w:bookmarkStart w:id="155" w:name="_Toc12025630"/>
      <w:r>
        <w:rPr>
          <w:rFonts w:ascii="Times New Roman" w:hAnsi="Times New Roman" w:eastAsiaTheme="majorEastAsia"/>
          <w:bCs/>
          <w:kern w:val="2"/>
          <w:szCs w:val="36"/>
          <w:highlight w:val="none"/>
        </w:rPr>
        <w:t>第三章 评审办法</w:t>
      </w:r>
      <w:bookmarkEnd w:id="152"/>
      <w:bookmarkEnd w:id="153"/>
      <w:bookmarkEnd w:id="154"/>
      <w:bookmarkStart w:id="156" w:name="_Toc152045599"/>
      <w:bookmarkStart w:id="157" w:name="_Toc179632617"/>
      <w:bookmarkStart w:id="158" w:name="_Toc144974566"/>
      <w:bookmarkStart w:id="159" w:name="_Toc152042376"/>
      <w:bookmarkStart w:id="160" w:name="_Toc246996242"/>
      <w:bookmarkStart w:id="161" w:name="_Toc247085757"/>
      <w:bookmarkStart w:id="162" w:name="_Toc246996985"/>
    </w:p>
    <w:bookmarkEnd w:id="156"/>
    <w:bookmarkEnd w:id="157"/>
    <w:bookmarkEnd w:id="158"/>
    <w:bookmarkEnd w:id="159"/>
    <w:bookmarkEnd w:id="160"/>
    <w:bookmarkEnd w:id="161"/>
    <w:bookmarkEnd w:id="162"/>
    <w:p w14:paraId="140B9739">
      <w:pPr>
        <w:pStyle w:val="5"/>
        <w:spacing w:before="0" w:after="0" w:line="360" w:lineRule="exact"/>
        <w:ind w:firstLine="422"/>
        <w:jc w:val="left"/>
        <w:rPr>
          <w:rFonts w:ascii="Times New Roman" w:hAnsi="Times New Roman" w:eastAsiaTheme="minorEastAsia"/>
          <w:sz w:val="21"/>
          <w:szCs w:val="21"/>
          <w:highlight w:val="none"/>
        </w:rPr>
      </w:pPr>
      <w:bookmarkStart w:id="163" w:name="EBdd50372fb5f147338f0b3ac167590a20"/>
      <w:bookmarkEnd w:id="163"/>
      <w:bookmarkStart w:id="164" w:name="_Toc246996986"/>
      <w:bookmarkStart w:id="165" w:name="_Toc179632618"/>
      <w:bookmarkStart w:id="166" w:name="_Toc152045600"/>
      <w:bookmarkStart w:id="167" w:name="_Toc144974567"/>
      <w:bookmarkStart w:id="168" w:name="_Toc246996243"/>
      <w:bookmarkStart w:id="169" w:name="_Toc475027990"/>
      <w:bookmarkStart w:id="170" w:name="_Toc247085758"/>
      <w:bookmarkStart w:id="171" w:name="_Toc476"/>
      <w:bookmarkStart w:id="172" w:name="_Toc354417665"/>
      <w:bookmarkStart w:id="173" w:name="_Toc520410622"/>
      <w:bookmarkStart w:id="174" w:name="_Toc152042377"/>
      <w:bookmarkStart w:id="175" w:name="_Toc12281"/>
      <w:bookmarkStart w:id="176" w:name="_Toc17924"/>
      <w:r>
        <w:rPr>
          <w:rFonts w:ascii="Times New Roman" w:hAnsi="Times New Roman" w:eastAsiaTheme="minorEastAsia"/>
          <w:sz w:val="21"/>
          <w:szCs w:val="21"/>
          <w:highlight w:val="none"/>
        </w:rPr>
        <w:t>一、评审方法</w:t>
      </w:r>
      <w:bookmarkEnd w:id="164"/>
      <w:bookmarkEnd w:id="165"/>
      <w:bookmarkEnd w:id="166"/>
      <w:bookmarkEnd w:id="167"/>
      <w:bookmarkEnd w:id="168"/>
      <w:bookmarkEnd w:id="169"/>
      <w:bookmarkEnd w:id="170"/>
      <w:bookmarkEnd w:id="171"/>
      <w:bookmarkEnd w:id="172"/>
      <w:bookmarkEnd w:id="173"/>
      <w:bookmarkEnd w:id="174"/>
      <w:bookmarkEnd w:id="175"/>
      <w:bookmarkEnd w:id="176"/>
    </w:p>
    <w:p w14:paraId="1BB524B9">
      <w:pPr>
        <w:spacing w:line="360" w:lineRule="exact"/>
        <w:ind w:firstLine="422"/>
        <w:jc w:val="left"/>
        <w:rPr>
          <w:rFonts w:eastAsiaTheme="minorEastAsia"/>
          <w:b/>
          <w:bCs/>
          <w:szCs w:val="21"/>
          <w:highlight w:val="none"/>
        </w:rPr>
      </w:pPr>
      <w:bookmarkStart w:id="177" w:name="_Toc475027991"/>
      <w:bookmarkStart w:id="178" w:name="_Toc520410623"/>
      <w:bookmarkStart w:id="179" w:name="_Toc354417666"/>
      <w:bookmarkStart w:id="180" w:name="_Toc246996244"/>
      <w:bookmarkStart w:id="181" w:name="_Toc152045601"/>
      <w:bookmarkStart w:id="182" w:name="_Toc152042378"/>
      <w:bookmarkStart w:id="183" w:name="_Toc246996987"/>
      <w:bookmarkStart w:id="184" w:name="_Toc179632619"/>
      <w:bookmarkStart w:id="185" w:name="_Toc247085759"/>
      <w:bookmarkStart w:id="186" w:name="_Toc144974568"/>
      <w:r>
        <w:rPr>
          <w:rFonts w:eastAsiaTheme="minorEastAsia"/>
          <w:b/>
          <w:szCs w:val="21"/>
          <w:highlight w:val="none"/>
        </w:rPr>
        <w:t>本次评审采用经评审的最低价法</w:t>
      </w:r>
      <w:r>
        <w:rPr>
          <w:rFonts w:hint="eastAsia" w:eastAsiaTheme="minorEastAsia"/>
          <w:b/>
          <w:szCs w:val="21"/>
          <w:highlight w:val="none"/>
        </w:rPr>
        <w:t>，</w:t>
      </w:r>
      <w:r>
        <w:rPr>
          <w:rFonts w:eastAsiaTheme="minorEastAsia"/>
          <w:b/>
          <w:szCs w:val="21"/>
          <w:highlight w:val="none"/>
        </w:rPr>
        <w:t>评审小组对满足谈判文件实质要求的响应文件，按最终报价由低到高的顺序推荐成交候选人。成交候选人谈判报价相等的，由采购人自行确定次序。</w:t>
      </w:r>
    </w:p>
    <w:p w14:paraId="0F4E9DD5">
      <w:pPr>
        <w:pStyle w:val="5"/>
        <w:spacing w:before="0" w:after="0" w:line="360" w:lineRule="exact"/>
        <w:ind w:firstLine="422"/>
        <w:jc w:val="left"/>
        <w:rPr>
          <w:rFonts w:ascii="Times New Roman" w:hAnsi="Times New Roman" w:eastAsiaTheme="minorEastAsia"/>
          <w:sz w:val="21"/>
          <w:szCs w:val="21"/>
          <w:highlight w:val="none"/>
        </w:rPr>
      </w:pPr>
      <w:bookmarkStart w:id="187" w:name="_Toc25477"/>
      <w:bookmarkStart w:id="188" w:name="_Toc23302"/>
      <w:bookmarkStart w:id="189" w:name="_Toc24195"/>
      <w:r>
        <w:rPr>
          <w:rFonts w:ascii="Times New Roman" w:hAnsi="Times New Roman" w:eastAsiaTheme="minorEastAsia"/>
          <w:sz w:val="21"/>
          <w:szCs w:val="21"/>
          <w:highlight w:val="none"/>
        </w:rPr>
        <w:t>二、评审标准</w:t>
      </w:r>
      <w:bookmarkEnd w:id="177"/>
      <w:bookmarkEnd w:id="178"/>
      <w:bookmarkEnd w:id="179"/>
      <w:bookmarkEnd w:id="180"/>
      <w:bookmarkEnd w:id="181"/>
      <w:bookmarkEnd w:id="182"/>
      <w:bookmarkEnd w:id="183"/>
      <w:bookmarkEnd w:id="184"/>
      <w:bookmarkEnd w:id="185"/>
      <w:bookmarkEnd w:id="186"/>
      <w:bookmarkEnd w:id="187"/>
      <w:bookmarkEnd w:id="188"/>
      <w:bookmarkEnd w:id="189"/>
    </w:p>
    <w:p w14:paraId="359BC0F8">
      <w:pPr>
        <w:spacing w:line="420" w:lineRule="exact"/>
        <w:ind w:firstLine="422"/>
        <w:outlineLvl w:val="2"/>
        <w:rPr>
          <w:b/>
          <w:bCs/>
          <w:szCs w:val="21"/>
          <w:highlight w:val="none"/>
        </w:rPr>
      </w:pPr>
      <w:bookmarkStart w:id="190" w:name="_Toc4401"/>
      <w:bookmarkStart w:id="191" w:name="_Toc29788"/>
      <w:bookmarkStart w:id="192" w:name="_Toc12050"/>
      <w:bookmarkStart w:id="193" w:name="_Toc23333"/>
      <w:bookmarkStart w:id="194" w:name="_Toc12667"/>
      <w:r>
        <w:rPr>
          <w:rFonts w:eastAsiaTheme="minorEastAsia"/>
          <w:b/>
          <w:bCs/>
          <w:szCs w:val="21"/>
          <w:highlight w:val="none"/>
        </w:rPr>
        <w:t>评审</w:t>
      </w:r>
      <w:r>
        <w:rPr>
          <w:b/>
          <w:bCs/>
          <w:szCs w:val="21"/>
          <w:highlight w:val="none"/>
        </w:rPr>
        <w:t>入围条件：</w:t>
      </w:r>
      <w:r>
        <w:rPr>
          <w:rFonts w:hint="eastAsia"/>
          <w:b/>
          <w:bCs/>
          <w:szCs w:val="21"/>
          <w:highlight w:val="none"/>
        </w:rPr>
        <w:t>供应商响应文件响应函中载明的报价高于采购人控制价的，不再进行后续评审。</w:t>
      </w:r>
      <w:bookmarkEnd w:id="190"/>
      <w:bookmarkEnd w:id="191"/>
      <w:bookmarkEnd w:id="192"/>
      <w:bookmarkEnd w:id="193"/>
      <w:bookmarkEnd w:id="194"/>
    </w:p>
    <w:p w14:paraId="4E08B0BE">
      <w:pPr>
        <w:spacing w:line="360" w:lineRule="exact"/>
        <w:ind w:firstLine="422"/>
        <w:jc w:val="left"/>
        <w:rPr>
          <w:rFonts w:eastAsiaTheme="minorEastAsia"/>
          <w:b/>
          <w:szCs w:val="21"/>
          <w:highlight w:val="none"/>
        </w:rPr>
      </w:pPr>
      <w:r>
        <w:rPr>
          <w:rFonts w:eastAsiaTheme="minorEastAsia"/>
          <w:b/>
          <w:szCs w:val="21"/>
          <w:highlight w:val="none"/>
        </w:rPr>
        <w:t>2.1形式评审标准：</w:t>
      </w:r>
    </w:p>
    <w:p w14:paraId="3E7155E5">
      <w:pPr>
        <w:spacing w:line="360" w:lineRule="exact"/>
        <w:ind w:firstLine="420"/>
        <w:jc w:val="left"/>
        <w:rPr>
          <w:rFonts w:eastAsiaTheme="minorEastAsia"/>
          <w:szCs w:val="21"/>
          <w:highlight w:val="none"/>
        </w:rPr>
      </w:pPr>
      <w:r>
        <w:rPr>
          <w:rFonts w:eastAsiaTheme="minorEastAsia"/>
          <w:szCs w:val="21"/>
          <w:highlight w:val="none"/>
        </w:rPr>
        <w:t>2.1.1供应商名称：是否与营业执照、资质证书一致；</w:t>
      </w:r>
    </w:p>
    <w:p w14:paraId="1CF9091C">
      <w:pPr>
        <w:spacing w:line="360" w:lineRule="exact"/>
        <w:ind w:firstLine="420"/>
        <w:jc w:val="left"/>
        <w:rPr>
          <w:rFonts w:eastAsiaTheme="minorEastAsia"/>
          <w:szCs w:val="21"/>
          <w:highlight w:val="none"/>
        </w:rPr>
      </w:pPr>
      <w:r>
        <w:rPr>
          <w:rFonts w:eastAsiaTheme="minorEastAsia"/>
          <w:szCs w:val="21"/>
          <w:highlight w:val="none"/>
        </w:rPr>
        <w:t>2.1.2响应函签字盖章：有法定代表人或授权委托人的签字或签章并加盖单位公章。</w:t>
      </w:r>
    </w:p>
    <w:p w14:paraId="18DF45A0">
      <w:pPr>
        <w:spacing w:line="360" w:lineRule="exact"/>
        <w:ind w:firstLine="420"/>
        <w:jc w:val="left"/>
        <w:rPr>
          <w:rFonts w:eastAsiaTheme="minorEastAsia"/>
          <w:szCs w:val="21"/>
          <w:highlight w:val="none"/>
        </w:rPr>
      </w:pPr>
      <w:r>
        <w:rPr>
          <w:rFonts w:eastAsiaTheme="minorEastAsia"/>
          <w:szCs w:val="21"/>
          <w:highlight w:val="none"/>
        </w:rPr>
        <w:t>2.1.3响应文件及报价唯一：只能有一个响应文件及有效报价（谈判文件要求提交备选响应文件的除外）</w:t>
      </w:r>
      <w:r>
        <w:rPr>
          <w:rFonts w:hint="eastAsia" w:eastAsiaTheme="minorEastAsia"/>
          <w:szCs w:val="21"/>
          <w:highlight w:val="none"/>
        </w:rPr>
        <w:t>；</w:t>
      </w:r>
    </w:p>
    <w:p w14:paraId="487EC56B">
      <w:pPr>
        <w:spacing w:line="360" w:lineRule="exact"/>
        <w:ind w:firstLine="420"/>
        <w:jc w:val="left"/>
        <w:rPr>
          <w:rFonts w:eastAsiaTheme="minorEastAsia"/>
          <w:szCs w:val="21"/>
          <w:highlight w:val="none"/>
        </w:rPr>
      </w:pPr>
      <w:r>
        <w:rPr>
          <w:rFonts w:eastAsiaTheme="minorEastAsia"/>
          <w:szCs w:val="21"/>
          <w:highlight w:val="none"/>
        </w:rPr>
        <w:t>2.1.4保证金缴纳方式、数额及时间是否符合要求；</w:t>
      </w:r>
    </w:p>
    <w:p w14:paraId="42687FD9">
      <w:pPr>
        <w:spacing w:line="360" w:lineRule="exact"/>
        <w:ind w:firstLine="422"/>
        <w:jc w:val="left"/>
        <w:rPr>
          <w:rFonts w:eastAsiaTheme="minorEastAsia"/>
          <w:b/>
          <w:bCs/>
          <w:color w:val="FF0000"/>
          <w:szCs w:val="21"/>
          <w:highlight w:val="none"/>
        </w:rPr>
      </w:pPr>
      <w:r>
        <w:rPr>
          <w:rFonts w:eastAsiaTheme="minorEastAsia"/>
          <w:b/>
          <w:bCs/>
          <w:color w:val="FF0000"/>
          <w:szCs w:val="21"/>
          <w:highlight w:val="none"/>
        </w:rPr>
        <w:t>2.1.5是否存在串通投标情形。</w:t>
      </w:r>
    </w:p>
    <w:p w14:paraId="3DFD89D7">
      <w:pPr>
        <w:spacing w:line="360" w:lineRule="exact"/>
        <w:ind w:firstLine="422"/>
        <w:jc w:val="left"/>
        <w:rPr>
          <w:rFonts w:eastAsiaTheme="minorEastAsia"/>
          <w:b/>
          <w:szCs w:val="21"/>
          <w:highlight w:val="none"/>
        </w:rPr>
      </w:pPr>
      <w:r>
        <w:rPr>
          <w:rFonts w:eastAsiaTheme="minorEastAsia"/>
          <w:b/>
          <w:szCs w:val="21"/>
          <w:highlight w:val="none"/>
        </w:rPr>
        <w:t>2.2资格评审标准：</w:t>
      </w:r>
    </w:p>
    <w:p w14:paraId="429DC70F">
      <w:pPr>
        <w:spacing w:line="360" w:lineRule="exact"/>
        <w:ind w:firstLine="420"/>
        <w:jc w:val="left"/>
        <w:rPr>
          <w:rFonts w:eastAsiaTheme="minorEastAsia"/>
          <w:szCs w:val="21"/>
          <w:highlight w:val="none"/>
        </w:rPr>
      </w:pPr>
      <w:r>
        <w:rPr>
          <w:rFonts w:eastAsiaTheme="minorEastAsia"/>
          <w:szCs w:val="21"/>
          <w:highlight w:val="none"/>
        </w:rPr>
        <w:t>符合“竞争性谈判公告”第3条规定。</w:t>
      </w:r>
    </w:p>
    <w:p w14:paraId="39EA6F01">
      <w:pPr>
        <w:spacing w:line="360" w:lineRule="exact"/>
        <w:ind w:firstLine="422"/>
        <w:jc w:val="left"/>
        <w:rPr>
          <w:rFonts w:eastAsiaTheme="minorEastAsia"/>
          <w:b/>
          <w:szCs w:val="21"/>
          <w:highlight w:val="none"/>
        </w:rPr>
      </w:pPr>
      <w:r>
        <w:rPr>
          <w:rFonts w:eastAsiaTheme="minorEastAsia"/>
          <w:b/>
          <w:szCs w:val="21"/>
          <w:highlight w:val="none"/>
        </w:rPr>
        <w:t>2.3响应性评审标准：</w:t>
      </w:r>
    </w:p>
    <w:p w14:paraId="71B14A0F">
      <w:pPr>
        <w:spacing w:line="360" w:lineRule="exact"/>
        <w:ind w:firstLine="420"/>
        <w:jc w:val="left"/>
        <w:rPr>
          <w:rFonts w:eastAsiaTheme="minorEastAsia"/>
          <w:szCs w:val="21"/>
          <w:highlight w:val="none"/>
        </w:rPr>
      </w:pPr>
      <w:r>
        <w:rPr>
          <w:rFonts w:eastAsiaTheme="minorEastAsia"/>
          <w:szCs w:val="21"/>
          <w:highlight w:val="none"/>
        </w:rPr>
        <w:t>2.3.1符合第二章“供应商须知前附表”内关于“采购范围”、“工期要求”、“质量要求”的规定。</w:t>
      </w:r>
    </w:p>
    <w:p w14:paraId="39731357">
      <w:pPr>
        <w:spacing w:line="360" w:lineRule="exact"/>
        <w:ind w:firstLine="420"/>
        <w:jc w:val="left"/>
        <w:rPr>
          <w:rFonts w:eastAsiaTheme="minorEastAsia"/>
          <w:szCs w:val="21"/>
          <w:highlight w:val="none"/>
        </w:rPr>
      </w:pPr>
      <w:r>
        <w:rPr>
          <w:rFonts w:eastAsiaTheme="minorEastAsia"/>
          <w:szCs w:val="21"/>
          <w:highlight w:val="none"/>
        </w:rPr>
        <w:t>2.3.2其他要求：无本章第3.2.4条所列情形。</w:t>
      </w:r>
    </w:p>
    <w:p w14:paraId="0EB9CE0B">
      <w:pPr>
        <w:pStyle w:val="5"/>
        <w:spacing w:before="0" w:after="0" w:line="360" w:lineRule="exact"/>
        <w:ind w:firstLine="422"/>
        <w:jc w:val="left"/>
        <w:rPr>
          <w:rFonts w:ascii="Times New Roman" w:hAnsi="Times New Roman" w:eastAsiaTheme="minorEastAsia"/>
          <w:sz w:val="21"/>
          <w:szCs w:val="21"/>
          <w:highlight w:val="none"/>
        </w:rPr>
      </w:pPr>
      <w:bookmarkStart w:id="195" w:name="_Toc246996990"/>
      <w:bookmarkStart w:id="196" w:name="_Toc24022"/>
      <w:bookmarkStart w:id="197" w:name="_Toc354417669"/>
      <w:bookmarkStart w:id="198" w:name="_Toc247085762"/>
      <w:bookmarkStart w:id="199" w:name="_Toc179632622"/>
      <w:bookmarkStart w:id="200" w:name="_Toc144974571"/>
      <w:bookmarkStart w:id="201" w:name="_Toc152042381"/>
      <w:bookmarkStart w:id="202" w:name="_Toc246996247"/>
      <w:bookmarkStart w:id="203" w:name="_Toc520410627"/>
      <w:bookmarkStart w:id="204" w:name="_Toc475027994"/>
      <w:bookmarkStart w:id="205" w:name="_Toc152045604"/>
      <w:bookmarkStart w:id="206" w:name="_Toc2339"/>
      <w:bookmarkStart w:id="207" w:name="_Toc3753"/>
      <w:r>
        <w:rPr>
          <w:rFonts w:ascii="Times New Roman" w:hAnsi="Times New Roman" w:eastAsiaTheme="minorEastAsia"/>
          <w:sz w:val="21"/>
          <w:szCs w:val="21"/>
          <w:highlight w:val="none"/>
        </w:rPr>
        <w:t>三、评审程序</w:t>
      </w:r>
      <w:bookmarkEnd w:id="195"/>
      <w:bookmarkEnd w:id="196"/>
      <w:bookmarkEnd w:id="197"/>
      <w:bookmarkEnd w:id="198"/>
      <w:bookmarkEnd w:id="199"/>
      <w:bookmarkEnd w:id="200"/>
      <w:bookmarkEnd w:id="201"/>
      <w:bookmarkEnd w:id="202"/>
      <w:bookmarkEnd w:id="203"/>
      <w:bookmarkEnd w:id="204"/>
      <w:bookmarkEnd w:id="205"/>
      <w:bookmarkEnd w:id="206"/>
      <w:bookmarkEnd w:id="207"/>
    </w:p>
    <w:p w14:paraId="092242E2">
      <w:pPr>
        <w:spacing w:line="360" w:lineRule="exact"/>
        <w:ind w:firstLine="422"/>
        <w:jc w:val="left"/>
        <w:rPr>
          <w:rFonts w:eastAsiaTheme="minorEastAsia"/>
          <w:b/>
          <w:szCs w:val="21"/>
          <w:highlight w:val="none"/>
        </w:rPr>
      </w:pPr>
      <w:bookmarkStart w:id="208" w:name="_Toc475027995"/>
      <w:bookmarkStart w:id="209" w:name="_Toc343525569"/>
      <w:bookmarkStart w:id="210" w:name="_Toc520410628"/>
      <w:bookmarkStart w:id="211" w:name="_Toc354417670"/>
      <w:r>
        <w:rPr>
          <w:rFonts w:eastAsiaTheme="minorEastAsia"/>
          <w:b/>
          <w:szCs w:val="21"/>
          <w:highlight w:val="none"/>
        </w:rPr>
        <w:t>3.1评审准备</w:t>
      </w:r>
      <w:bookmarkEnd w:id="208"/>
      <w:bookmarkEnd w:id="209"/>
      <w:bookmarkEnd w:id="210"/>
      <w:bookmarkEnd w:id="211"/>
    </w:p>
    <w:p w14:paraId="026C8523">
      <w:pPr>
        <w:spacing w:line="360" w:lineRule="exact"/>
        <w:ind w:firstLine="420"/>
        <w:jc w:val="left"/>
        <w:rPr>
          <w:rFonts w:eastAsiaTheme="minorEastAsia"/>
          <w:szCs w:val="21"/>
          <w:highlight w:val="none"/>
        </w:rPr>
      </w:pPr>
      <w:r>
        <w:rPr>
          <w:rFonts w:eastAsiaTheme="minorEastAsia"/>
          <w:szCs w:val="21"/>
          <w:highlight w:val="none"/>
        </w:rPr>
        <w:t>3.1.1谈判评审小组的组成及分工：谈判评审小组由徐圩新区评审专家库中随机抽取的评审专家组成。</w:t>
      </w:r>
    </w:p>
    <w:p w14:paraId="183C4990">
      <w:pPr>
        <w:spacing w:line="360" w:lineRule="exact"/>
        <w:ind w:firstLine="420"/>
        <w:jc w:val="left"/>
        <w:rPr>
          <w:rFonts w:eastAsiaTheme="minorEastAsia"/>
          <w:szCs w:val="21"/>
          <w:highlight w:val="none"/>
        </w:rPr>
      </w:pPr>
      <w:r>
        <w:rPr>
          <w:rFonts w:eastAsiaTheme="minorEastAsia"/>
          <w:szCs w:val="21"/>
          <w:highlight w:val="none"/>
        </w:rPr>
        <w:t>3.1.2</w:t>
      </w:r>
      <w:r>
        <w:rPr>
          <w:rFonts w:eastAsiaTheme="minorEastAsia"/>
          <w:kern w:val="0"/>
          <w:szCs w:val="21"/>
          <w:highlight w:val="none"/>
        </w:rPr>
        <w:t>谈判评审小组成员首先推选一名谈判评审小组负责人，负责评审活动的组织领导工作</w:t>
      </w:r>
      <w:r>
        <w:rPr>
          <w:rFonts w:eastAsiaTheme="minorEastAsia"/>
          <w:szCs w:val="21"/>
          <w:highlight w:val="none"/>
        </w:rPr>
        <w:t>，具有与谈判评审小组其他成员同等的表决权。</w:t>
      </w:r>
    </w:p>
    <w:p w14:paraId="5BDED57B">
      <w:pPr>
        <w:spacing w:line="360" w:lineRule="exact"/>
        <w:ind w:firstLine="420"/>
        <w:jc w:val="left"/>
        <w:rPr>
          <w:rFonts w:eastAsiaTheme="minorEastAsia"/>
          <w:b/>
          <w:szCs w:val="21"/>
          <w:highlight w:val="none"/>
        </w:rPr>
      </w:pPr>
      <w:r>
        <w:rPr>
          <w:rFonts w:eastAsiaTheme="minorEastAsia"/>
          <w:szCs w:val="21"/>
          <w:highlight w:val="none"/>
        </w:rPr>
        <w:t>3.1.3采购人或代理机构应向谈判评审小组提供评审所需的信息和数据。谈判评审小组负责人应组织谈判评审小组成员认真研究谈判文件，未在谈判文件中规定的标准和方法不得作为评审的依据。</w:t>
      </w:r>
      <w:bookmarkStart w:id="212" w:name="_Toc354417672"/>
      <w:bookmarkStart w:id="213" w:name="_Toc343525571"/>
      <w:bookmarkStart w:id="214" w:name="_Toc475027997"/>
      <w:bookmarkStart w:id="215" w:name="_Toc520410630"/>
    </w:p>
    <w:p w14:paraId="0EB0BB0F">
      <w:pPr>
        <w:spacing w:line="360" w:lineRule="exact"/>
        <w:ind w:firstLine="422"/>
        <w:jc w:val="left"/>
        <w:rPr>
          <w:rFonts w:eastAsiaTheme="minorEastAsia"/>
          <w:b/>
          <w:szCs w:val="21"/>
          <w:highlight w:val="none"/>
        </w:rPr>
      </w:pPr>
      <w:r>
        <w:rPr>
          <w:rFonts w:eastAsiaTheme="minorEastAsia"/>
          <w:b/>
          <w:szCs w:val="21"/>
          <w:highlight w:val="none"/>
        </w:rPr>
        <w:t>3.2初步评审</w:t>
      </w:r>
      <w:bookmarkEnd w:id="212"/>
      <w:bookmarkEnd w:id="213"/>
      <w:bookmarkEnd w:id="214"/>
      <w:bookmarkEnd w:id="215"/>
    </w:p>
    <w:p w14:paraId="2D04ED17">
      <w:pPr>
        <w:spacing w:line="360" w:lineRule="exact"/>
        <w:ind w:firstLine="420"/>
        <w:jc w:val="left"/>
        <w:rPr>
          <w:rFonts w:eastAsiaTheme="minorEastAsia"/>
          <w:szCs w:val="21"/>
          <w:highlight w:val="none"/>
        </w:rPr>
      </w:pPr>
      <w:r>
        <w:rPr>
          <w:rFonts w:eastAsiaTheme="minorEastAsia"/>
          <w:szCs w:val="21"/>
          <w:highlight w:val="none"/>
        </w:rPr>
        <w:t>3.2.1形式性评审</w:t>
      </w:r>
    </w:p>
    <w:p w14:paraId="31085F80">
      <w:pPr>
        <w:spacing w:line="360" w:lineRule="exact"/>
        <w:ind w:firstLine="420"/>
        <w:jc w:val="left"/>
        <w:rPr>
          <w:rFonts w:eastAsiaTheme="minorEastAsia"/>
          <w:szCs w:val="21"/>
          <w:highlight w:val="none"/>
        </w:rPr>
      </w:pPr>
      <w:r>
        <w:rPr>
          <w:rFonts w:eastAsiaTheme="minorEastAsia"/>
          <w:szCs w:val="21"/>
          <w:highlight w:val="none"/>
        </w:rPr>
        <w:t>谈判评审小组根据本章第2.1.款列出的评审标准，有一项不符合评审标准的，作无效响应文件处理。</w:t>
      </w:r>
    </w:p>
    <w:p w14:paraId="29448AAB">
      <w:pPr>
        <w:spacing w:line="360" w:lineRule="exact"/>
        <w:ind w:firstLine="420"/>
        <w:jc w:val="left"/>
        <w:rPr>
          <w:rFonts w:eastAsiaTheme="minorEastAsia"/>
          <w:szCs w:val="21"/>
          <w:highlight w:val="none"/>
        </w:rPr>
      </w:pPr>
      <w:r>
        <w:rPr>
          <w:rFonts w:eastAsiaTheme="minorEastAsia"/>
          <w:szCs w:val="21"/>
          <w:highlight w:val="none"/>
        </w:rPr>
        <w:t>3.2.2资格评审</w:t>
      </w:r>
    </w:p>
    <w:p w14:paraId="45887B71">
      <w:pPr>
        <w:spacing w:line="360" w:lineRule="exact"/>
        <w:ind w:firstLine="420"/>
        <w:jc w:val="left"/>
        <w:rPr>
          <w:rFonts w:eastAsiaTheme="minorEastAsia"/>
          <w:szCs w:val="21"/>
          <w:highlight w:val="none"/>
        </w:rPr>
      </w:pPr>
      <w:r>
        <w:rPr>
          <w:rFonts w:eastAsiaTheme="minorEastAsia"/>
          <w:szCs w:val="21"/>
          <w:highlight w:val="none"/>
        </w:rPr>
        <w:t>谈判评审小组根据本章第2.2款列出的评审标准，有一项不符合评审标准的，作无效响应文件处理。</w:t>
      </w:r>
    </w:p>
    <w:p w14:paraId="1FF4762B">
      <w:pPr>
        <w:spacing w:line="360" w:lineRule="exact"/>
        <w:ind w:firstLine="420"/>
        <w:jc w:val="left"/>
        <w:rPr>
          <w:rFonts w:eastAsiaTheme="minorEastAsia"/>
          <w:szCs w:val="21"/>
          <w:highlight w:val="none"/>
        </w:rPr>
      </w:pPr>
      <w:r>
        <w:rPr>
          <w:rFonts w:eastAsiaTheme="minorEastAsia"/>
          <w:szCs w:val="21"/>
          <w:highlight w:val="none"/>
        </w:rPr>
        <w:t>3.2.3响应性评审</w:t>
      </w:r>
    </w:p>
    <w:p w14:paraId="00661A7B">
      <w:pPr>
        <w:spacing w:line="360" w:lineRule="exact"/>
        <w:ind w:firstLine="420"/>
        <w:jc w:val="left"/>
        <w:rPr>
          <w:rFonts w:eastAsiaTheme="minorEastAsia"/>
          <w:szCs w:val="21"/>
          <w:highlight w:val="none"/>
        </w:rPr>
      </w:pPr>
      <w:r>
        <w:rPr>
          <w:rFonts w:eastAsiaTheme="minorEastAsia"/>
          <w:szCs w:val="21"/>
          <w:highlight w:val="none"/>
        </w:rPr>
        <w:t>谈判评审小组根据本章第2.3款列出的评审标准，有一项不符合评审标准的，作无效响应文件处理。</w:t>
      </w:r>
    </w:p>
    <w:p w14:paraId="68127F67">
      <w:pPr>
        <w:spacing w:line="360" w:lineRule="exact"/>
        <w:ind w:firstLine="422"/>
        <w:jc w:val="left"/>
        <w:rPr>
          <w:rFonts w:eastAsiaTheme="minorEastAsia"/>
          <w:b/>
          <w:bCs/>
          <w:color w:val="FF0000"/>
          <w:szCs w:val="21"/>
          <w:highlight w:val="none"/>
        </w:rPr>
      </w:pPr>
      <w:r>
        <w:rPr>
          <w:rFonts w:eastAsiaTheme="minorEastAsia"/>
          <w:b/>
          <w:bCs/>
          <w:color w:val="FF0000"/>
          <w:szCs w:val="21"/>
          <w:highlight w:val="none"/>
        </w:rPr>
        <w:t>3.2.4供应商有以下情形之一的，为重大偏差，其响应文件无效：</w:t>
      </w:r>
    </w:p>
    <w:p w14:paraId="28AE7E65">
      <w:pPr>
        <w:spacing w:line="360" w:lineRule="exact"/>
        <w:ind w:firstLine="420"/>
        <w:jc w:val="left"/>
        <w:rPr>
          <w:rFonts w:eastAsiaTheme="minorEastAsia"/>
          <w:szCs w:val="21"/>
          <w:highlight w:val="none"/>
        </w:rPr>
      </w:pPr>
      <w:r>
        <w:rPr>
          <w:rFonts w:eastAsiaTheme="minorEastAsia"/>
          <w:szCs w:val="21"/>
          <w:highlight w:val="none"/>
        </w:rPr>
        <w:t>（1）响应文件中的响应函未加盖供应商的公章；</w:t>
      </w:r>
    </w:p>
    <w:p w14:paraId="4933A0BD">
      <w:pPr>
        <w:spacing w:line="360" w:lineRule="exact"/>
        <w:ind w:firstLine="420"/>
        <w:jc w:val="left"/>
        <w:rPr>
          <w:rFonts w:eastAsiaTheme="minorEastAsia"/>
          <w:szCs w:val="21"/>
          <w:highlight w:val="none"/>
        </w:rPr>
      </w:pPr>
      <w:r>
        <w:rPr>
          <w:rFonts w:eastAsiaTheme="minorEastAsia"/>
          <w:szCs w:val="21"/>
          <w:highlight w:val="none"/>
        </w:rPr>
        <w:t>（2）响应文件中的响应函无企业法定代表人（或企业法定代表人委托代理人）印章（或签字）的；</w:t>
      </w:r>
    </w:p>
    <w:p w14:paraId="5CAA4767">
      <w:pPr>
        <w:spacing w:line="360" w:lineRule="exact"/>
        <w:ind w:firstLine="420"/>
        <w:jc w:val="left"/>
        <w:rPr>
          <w:rFonts w:eastAsiaTheme="minorEastAsia"/>
          <w:szCs w:val="21"/>
          <w:highlight w:val="none"/>
        </w:rPr>
      </w:pPr>
      <w:r>
        <w:rPr>
          <w:rFonts w:eastAsiaTheme="minorEastAsia"/>
          <w:szCs w:val="21"/>
          <w:highlight w:val="none"/>
        </w:rPr>
        <w:t>（3）如响应函由企业法定代表人委托代理人加盖印章（或签字），企业法定代表人委托代理人没有合法、有效的委托书（原件）的；</w:t>
      </w:r>
    </w:p>
    <w:p w14:paraId="0B8224F8">
      <w:pPr>
        <w:spacing w:line="360" w:lineRule="exact"/>
        <w:ind w:firstLine="420"/>
        <w:jc w:val="left"/>
        <w:rPr>
          <w:rFonts w:eastAsiaTheme="minorEastAsia"/>
          <w:szCs w:val="21"/>
          <w:highlight w:val="none"/>
        </w:rPr>
      </w:pPr>
      <w:r>
        <w:rPr>
          <w:rFonts w:eastAsiaTheme="minorEastAsia"/>
          <w:szCs w:val="21"/>
          <w:highlight w:val="none"/>
        </w:rPr>
        <w:t>（4）供应商资格条件不符合国家有关规定或谈判文件资格要求的；</w:t>
      </w:r>
    </w:p>
    <w:p w14:paraId="1AD0FCD0">
      <w:pPr>
        <w:spacing w:line="360" w:lineRule="exact"/>
        <w:ind w:firstLine="420"/>
        <w:jc w:val="left"/>
        <w:rPr>
          <w:rFonts w:eastAsiaTheme="minorEastAsia"/>
          <w:szCs w:val="21"/>
          <w:highlight w:val="none"/>
        </w:rPr>
      </w:pPr>
      <w:r>
        <w:rPr>
          <w:rFonts w:eastAsiaTheme="minorEastAsia"/>
          <w:szCs w:val="21"/>
          <w:highlight w:val="none"/>
        </w:rPr>
        <w:t>（5）响应文件递交时供应商代表与响应文件中授权委托代表不是同一人的；</w:t>
      </w:r>
    </w:p>
    <w:p w14:paraId="5E7F6C4F">
      <w:pPr>
        <w:spacing w:line="360" w:lineRule="exact"/>
        <w:ind w:firstLine="420"/>
        <w:jc w:val="left"/>
        <w:rPr>
          <w:rFonts w:eastAsiaTheme="minorEastAsia"/>
          <w:szCs w:val="21"/>
          <w:highlight w:val="none"/>
        </w:rPr>
      </w:pPr>
      <w:r>
        <w:rPr>
          <w:rFonts w:eastAsiaTheme="minorEastAsia"/>
          <w:szCs w:val="21"/>
          <w:highlight w:val="none"/>
        </w:rPr>
        <w:t>（6）组成联合体参与谈判未提供联合体各方共同合作协议的；</w:t>
      </w:r>
    </w:p>
    <w:p w14:paraId="596B0E1B">
      <w:pPr>
        <w:spacing w:line="360" w:lineRule="exact"/>
        <w:ind w:firstLine="420"/>
        <w:jc w:val="left"/>
        <w:rPr>
          <w:rFonts w:eastAsiaTheme="minorEastAsia"/>
          <w:szCs w:val="21"/>
          <w:highlight w:val="none"/>
        </w:rPr>
      </w:pPr>
      <w:r>
        <w:rPr>
          <w:rFonts w:eastAsiaTheme="minorEastAsia"/>
          <w:szCs w:val="21"/>
          <w:highlight w:val="none"/>
        </w:rPr>
        <w:t>（7）在同一采购项目中，联合体成员以自己名义单独参加谈判或者参加其他联合体谈判的；</w:t>
      </w:r>
    </w:p>
    <w:p w14:paraId="7B0901DD">
      <w:pPr>
        <w:spacing w:line="360" w:lineRule="exact"/>
        <w:ind w:firstLine="420"/>
        <w:jc w:val="left"/>
        <w:rPr>
          <w:rFonts w:eastAsiaTheme="minorEastAsia"/>
          <w:szCs w:val="21"/>
          <w:highlight w:val="none"/>
        </w:rPr>
      </w:pPr>
      <w:r>
        <w:rPr>
          <w:rFonts w:eastAsiaTheme="minorEastAsia"/>
          <w:szCs w:val="21"/>
          <w:highlight w:val="none"/>
        </w:rPr>
        <w:t>（8）报价低于工程成本或者高于采购文件设定的采购控制价；</w:t>
      </w:r>
    </w:p>
    <w:p w14:paraId="2399763F">
      <w:pPr>
        <w:spacing w:line="360" w:lineRule="exact"/>
        <w:ind w:firstLine="420"/>
        <w:jc w:val="left"/>
        <w:rPr>
          <w:rFonts w:eastAsiaTheme="minorEastAsia"/>
          <w:szCs w:val="21"/>
          <w:highlight w:val="none"/>
        </w:rPr>
      </w:pPr>
      <w:r>
        <w:rPr>
          <w:rFonts w:eastAsiaTheme="minorEastAsia"/>
          <w:szCs w:val="21"/>
          <w:highlight w:val="none"/>
        </w:rPr>
        <w:t>（9）同一供应商提交两个及以上不同的响应文件或者报价，但采购文件要求提交备选响应文件的除外；</w:t>
      </w:r>
    </w:p>
    <w:p w14:paraId="515A0536">
      <w:pPr>
        <w:spacing w:line="360" w:lineRule="exact"/>
        <w:ind w:firstLine="420"/>
        <w:jc w:val="left"/>
        <w:rPr>
          <w:rFonts w:eastAsiaTheme="minorEastAsia"/>
          <w:szCs w:val="21"/>
          <w:highlight w:val="none"/>
        </w:rPr>
      </w:pPr>
      <w:r>
        <w:rPr>
          <w:rFonts w:eastAsiaTheme="minorEastAsia"/>
          <w:szCs w:val="21"/>
          <w:highlight w:val="none"/>
        </w:rPr>
        <w:t>（10）响应文件中已标价工程量清单与谈判文件规定的暂估价、暂列金额及甲供材料价格不一致的；</w:t>
      </w:r>
    </w:p>
    <w:p w14:paraId="0586B68C">
      <w:pPr>
        <w:spacing w:line="360" w:lineRule="exact"/>
        <w:ind w:firstLine="420"/>
        <w:jc w:val="left"/>
        <w:rPr>
          <w:rFonts w:eastAsiaTheme="minorEastAsia"/>
          <w:szCs w:val="21"/>
          <w:highlight w:val="none"/>
        </w:rPr>
      </w:pPr>
      <w:r>
        <w:rPr>
          <w:rFonts w:eastAsiaTheme="minorEastAsia"/>
          <w:szCs w:val="21"/>
          <w:highlight w:val="none"/>
        </w:rPr>
        <w:t>（11）响应文件中已标价工程量清单与谈判文件明确列出的不可竞争费用项目或费率或计算基础不一致的；</w:t>
      </w:r>
    </w:p>
    <w:p w14:paraId="1C15C8BE">
      <w:pPr>
        <w:spacing w:line="360" w:lineRule="exact"/>
        <w:ind w:firstLine="420"/>
        <w:jc w:val="left"/>
        <w:rPr>
          <w:rFonts w:eastAsiaTheme="minorEastAsia"/>
          <w:szCs w:val="21"/>
          <w:highlight w:val="none"/>
        </w:rPr>
      </w:pPr>
      <w:r>
        <w:rPr>
          <w:rFonts w:eastAsiaTheme="minorEastAsia"/>
          <w:szCs w:val="21"/>
          <w:highlight w:val="none"/>
        </w:rPr>
        <w:t>（12）响应文件的已标价工程量清单与谈判文件提供的工程量清单中的项目编码、项目名称、项目特征、计量单位、工程量不一致的；</w:t>
      </w:r>
    </w:p>
    <w:p w14:paraId="0AC2D720">
      <w:pPr>
        <w:spacing w:line="360" w:lineRule="exact"/>
        <w:ind w:firstLine="420"/>
        <w:jc w:val="left"/>
        <w:rPr>
          <w:rFonts w:eastAsiaTheme="minorEastAsia"/>
          <w:szCs w:val="21"/>
          <w:highlight w:val="none"/>
        </w:rPr>
      </w:pPr>
      <w:r>
        <w:rPr>
          <w:rFonts w:eastAsiaTheme="minorEastAsia"/>
          <w:szCs w:val="21"/>
          <w:highlight w:val="none"/>
        </w:rPr>
        <w:t>（13）未按谈判文件要求提供谈判保证金的；</w:t>
      </w:r>
    </w:p>
    <w:p w14:paraId="6FC39FA5">
      <w:pPr>
        <w:spacing w:line="360" w:lineRule="exact"/>
        <w:ind w:firstLine="420"/>
        <w:jc w:val="left"/>
        <w:rPr>
          <w:rFonts w:eastAsiaTheme="minorEastAsia"/>
          <w:szCs w:val="21"/>
          <w:highlight w:val="none"/>
        </w:rPr>
      </w:pPr>
      <w:r>
        <w:rPr>
          <w:rFonts w:eastAsiaTheme="minorEastAsia"/>
          <w:szCs w:val="21"/>
          <w:highlight w:val="none"/>
        </w:rPr>
        <w:t>（14）响应文件载明的采购项目完成期限超过谈判文件规定的期限的；</w:t>
      </w:r>
    </w:p>
    <w:p w14:paraId="3ED05F8C">
      <w:pPr>
        <w:spacing w:line="360" w:lineRule="exact"/>
        <w:ind w:firstLine="420"/>
        <w:jc w:val="left"/>
        <w:rPr>
          <w:rFonts w:eastAsiaTheme="minorEastAsia"/>
          <w:szCs w:val="21"/>
          <w:highlight w:val="none"/>
        </w:rPr>
      </w:pPr>
      <w:r>
        <w:rPr>
          <w:rFonts w:eastAsiaTheme="minorEastAsia"/>
          <w:szCs w:val="21"/>
          <w:highlight w:val="none"/>
        </w:rPr>
        <w:t>（15）明显不符合技术规范、技术标准的要求或未响应谈判文件推荐材料设备品牌的；</w:t>
      </w:r>
    </w:p>
    <w:p w14:paraId="5AEE5932">
      <w:pPr>
        <w:spacing w:line="360" w:lineRule="exact"/>
        <w:ind w:firstLine="420"/>
        <w:jc w:val="left"/>
        <w:rPr>
          <w:rFonts w:eastAsiaTheme="minorEastAsia"/>
          <w:szCs w:val="21"/>
          <w:highlight w:val="none"/>
        </w:rPr>
      </w:pPr>
      <w:r>
        <w:rPr>
          <w:rFonts w:eastAsiaTheme="minorEastAsia"/>
          <w:szCs w:val="21"/>
          <w:highlight w:val="none"/>
        </w:rPr>
        <w:t>（16）响应文件载明的货物包装方式、检验标准和方法等不符合谈判文件的要求的；</w:t>
      </w:r>
    </w:p>
    <w:p w14:paraId="04E0BD1E">
      <w:pPr>
        <w:spacing w:line="360" w:lineRule="exact"/>
        <w:ind w:firstLine="420"/>
        <w:jc w:val="left"/>
        <w:rPr>
          <w:rFonts w:eastAsiaTheme="minorEastAsia"/>
          <w:szCs w:val="21"/>
          <w:highlight w:val="none"/>
        </w:rPr>
      </w:pPr>
      <w:r>
        <w:rPr>
          <w:rFonts w:eastAsiaTheme="minorEastAsia"/>
          <w:szCs w:val="21"/>
          <w:highlight w:val="none"/>
        </w:rPr>
        <w:t>（17）响应文件提出了不能满足谈判文件要求或采购人不能接受的工程验收、计量、价款结算和支付办法的；</w:t>
      </w:r>
    </w:p>
    <w:p w14:paraId="3CC3D53B">
      <w:pPr>
        <w:spacing w:line="360" w:lineRule="exact"/>
        <w:ind w:firstLine="420"/>
        <w:jc w:val="left"/>
        <w:rPr>
          <w:rFonts w:eastAsiaTheme="minorEastAsia"/>
          <w:szCs w:val="21"/>
          <w:highlight w:val="none"/>
        </w:rPr>
      </w:pPr>
      <w:r>
        <w:rPr>
          <w:rFonts w:eastAsiaTheme="minorEastAsia"/>
          <w:szCs w:val="21"/>
          <w:highlight w:val="none"/>
        </w:rPr>
        <w:t>（18）未按谈判文件要求提供电子响应文件，或者响应文件未能解密的；</w:t>
      </w:r>
    </w:p>
    <w:p w14:paraId="3FD80E27">
      <w:pPr>
        <w:spacing w:line="360" w:lineRule="exact"/>
        <w:ind w:firstLine="420"/>
        <w:jc w:val="left"/>
        <w:rPr>
          <w:rFonts w:eastAsiaTheme="minorEastAsia"/>
          <w:szCs w:val="21"/>
          <w:highlight w:val="none"/>
        </w:rPr>
      </w:pPr>
      <w:r>
        <w:rPr>
          <w:rFonts w:eastAsiaTheme="minorEastAsia"/>
          <w:szCs w:val="21"/>
          <w:highlight w:val="none"/>
        </w:rPr>
        <w:t>（19）不同供应商的响应文件以及响应文件制作过程出现了评审小组认为不应当雷同的情况的；</w:t>
      </w:r>
    </w:p>
    <w:p w14:paraId="5EA3C037">
      <w:pPr>
        <w:spacing w:line="360" w:lineRule="exact"/>
        <w:ind w:firstLine="420"/>
        <w:jc w:val="left"/>
        <w:rPr>
          <w:rFonts w:eastAsiaTheme="minorEastAsia"/>
          <w:szCs w:val="21"/>
          <w:highlight w:val="none"/>
        </w:rPr>
      </w:pPr>
      <w:r>
        <w:rPr>
          <w:rFonts w:eastAsiaTheme="minorEastAsia"/>
          <w:szCs w:val="21"/>
          <w:highlight w:val="none"/>
        </w:rPr>
        <w:t>（20）以他人的名义参与谈判、串通参与谈判、以行贿手段谋取成交或者以其他弄虚作假方式参与谈判的。</w:t>
      </w:r>
    </w:p>
    <w:p w14:paraId="4B11D3D9">
      <w:pPr>
        <w:spacing w:line="360" w:lineRule="exact"/>
        <w:ind w:firstLine="420"/>
        <w:jc w:val="left"/>
        <w:rPr>
          <w:rFonts w:eastAsiaTheme="minorEastAsia"/>
          <w:szCs w:val="21"/>
          <w:highlight w:val="none"/>
        </w:rPr>
      </w:pPr>
      <w:r>
        <w:rPr>
          <w:rFonts w:eastAsiaTheme="minorEastAsia"/>
          <w:szCs w:val="21"/>
          <w:highlight w:val="none"/>
        </w:rPr>
        <w:t>（21）不同供应商从同一个供应商单位或者同一个自然人的互联网协议地址下载谈判文件、上传响应文件且未按要求提供或提供的证据不能充分证明其未参与恶意串通。</w:t>
      </w:r>
    </w:p>
    <w:p w14:paraId="05F90BD2">
      <w:pPr>
        <w:spacing w:line="360" w:lineRule="exact"/>
        <w:ind w:firstLine="420"/>
        <w:jc w:val="left"/>
        <w:rPr>
          <w:rFonts w:eastAsiaTheme="minorEastAsia"/>
          <w:szCs w:val="21"/>
          <w:highlight w:val="none"/>
        </w:rPr>
      </w:pPr>
      <w:r>
        <w:rPr>
          <w:rFonts w:eastAsiaTheme="minorEastAsia"/>
          <w:szCs w:val="21"/>
          <w:highlight w:val="none"/>
        </w:rPr>
        <w:t>（22）响应文件关键内容模糊、无法辨认的。</w:t>
      </w:r>
    </w:p>
    <w:p w14:paraId="3E471E8D">
      <w:pPr>
        <w:spacing w:line="360" w:lineRule="exact"/>
        <w:ind w:firstLine="420"/>
        <w:jc w:val="left"/>
        <w:rPr>
          <w:rFonts w:hint="eastAsia"/>
          <w:b/>
          <w:bCs/>
          <w:color w:val="FF0000"/>
          <w:szCs w:val="21"/>
          <w:highlight w:val="none"/>
        </w:rPr>
      </w:pPr>
      <w:r>
        <w:rPr>
          <w:rFonts w:eastAsiaTheme="minorEastAsia"/>
          <w:color w:val="FF0000"/>
          <w:szCs w:val="21"/>
          <w:highlight w:val="none"/>
        </w:rPr>
        <w:t>（2</w:t>
      </w:r>
      <w:r>
        <w:rPr>
          <w:rFonts w:hint="eastAsia" w:eastAsiaTheme="minorEastAsia"/>
          <w:color w:val="FF0000"/>
          <w:szCs w:val="21"/>
          <w:highlight w:val="none"/>
        </w:rPr>
        <w:t>3</w:t>
      </w:r>
      <w:r>
        <w:rPr>
          <w:rFonts w:eastAsiaTheme="minorEastAsia"/>
          <w:color w:val="FF0000"/>
          <w:szCs w:val="21"/>
          <w:highlight w:val="none"/>
        </w:rPr>
        <w:t>）</w:t>
      </w:r>
      <w:r>
        <w:rPr>
          <w:rFonts w:hint="eastAsia"/>
          <w:b/>
          <w:bCs/>
          <w:color w:val="FF0000"/>
          <w:szCs w:val="21"/>
          <w:highlight w:val="none"/>
        </w:rPr>
        <w:t>响应文件中的税率与谈判文件规定的税率不一致的。</w:t>
      </w:r>
    </w:p>
    <w:p w14:paraId="5B569F6D">
      <w:pPr>
        <w:spacing w:line="360" w:lineRule="exact"/>
        <w:ind w:firstLine="420"/>
        <w:jc w:val="left"/>
        <w:rPr>
          <w:rFonts w:hint="eastAsia"/>
          <w:b/>
          <w:bCs/>
          <w:color w:val="FF0000"/>
          <w:szCs w:val="21"/>
          <w:highlight w:val="none"/>
        </w:rPr>
      </w:pPr>
      <w:r>
        <w:rPr>
          <w:rFonts w:eastAsiaTheme="minorEastAsia"/>
          <w:color w:val="FF0000"/>
          <w:szCs w:val="21"/>
          <w:highlight w:val="none"/>
        </w:rPr>
        <w:t>（2</w:t>
      </w:r>
      <w:r>
        <w:rPr>
          <w:rFonts w:hint="eastAsia" w:eastAsiaTheme="minorEastAsia"/>
          <w:color w:val="FF0000"/>
          <w:szCs w:val="21"/>
          <w:highlight w:val="none"/>
          <w:lang w:val="en-US" w:eastAsia="zh-CN"/>
        </w:rPr>
        <w:t>4</w:t>
      </w:r>
      <w:r>
        <w:rPr>
          <w:rFonts w:eastAsiaTheme="minorEastAsia"/>
          <w:color w:val="FF0000"/>
          <w:szCs w:val="21"/>
          <w:highlight w:val="none"/>
        </w:rPr>
        <w:t>）</w:t>
      </w:r>
      <w:r>
        <w:rPr>
          <w:rFonts w:hint="eastAsia"/>
          <w:b/>
          <w:bCs/>
          <w:color w:val="FF0000"/>
          <w:szCs w:val="21"/>
          <w:highlight w:val="none"/>
          <w:lang w:val="en-US" w:eastAsia="zh-CN"/>
        </w:rPr>
        <w:t>供应商承诺书的承诺内容</w:t>
      </w:r>
      <w:r>
        <w:rPr>
          <w:rFonts w:hint="eastAsia"/>
          <w:b/>
          <w:bCs/>
          <w:color w:val="FF0000"/>
          <w:szCs w:val="21"/>
          <w:highlight w:val="none"/>
        </w:rPr>
        <w:t>与谈判文件规定的</w:t>
      </w:r>
      <w:r>
        <w:rPr>
          <w:rFonts w:hint="eastAsia"/>
          <w:b/>
          <w:bCs/>
          <w:color w:val="FF0000"/>
          <w:szCs w:val="21"/>
          <w:highlight w:val="none"/>
          <w:lang w:val="en-US" w:eastAsia="zh-CN"/>
        </w:rPr>
        <w:t>承诺内容</w:t>
      </w:r>
      <w:r>
        <w:rPr>
          <w:rFonts w:hint="eastAsia"/>
          <w:b/>
          <w:bCs/>
          <w:color w:val="FF0000"/>
          <w:szCs w:val="21"/>
          <w:highlight w:val="none"/>
        </w:rPr>
        <w:t>不一致的。</w:t>
      </w:r>
    </w:p>
    <w:p w14:paraId="496BE7F4">
      <w:pPr>
        <w:spacing w:line="360" w:lineRule="exact"/>
        <w:ind w:firstLine="420"/>
        <w:jc w:val="left"/>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谈判文件未明列的无效条款，不得作为否决响应文件、判定响应文件无效的依据。评审委员会对响应文件有异议，或者依照有关规定需要作出无效响应文件决定的，应当向当事人核实有关事项，并将核实情况记录在案。无效响应文件认定应当由评审委员会集体表决后作出。</w:t>
      </w:r>
    </w:p>
    <w:p w14:paraId="4BAE6896">
      <w:pPr>
        <w:spacing w:line="360" w:lineRule="exact"/>
        <w:ind w:firstLine="420"/>
        <w:jc w:val="left"/>
        <w:rPr>
          <w:rFonts w:eastAsiaTheme="minorEastAsia"/>
          <w:color w:val="000000" w:themeColor="text1"/>
          <w:szCs w:val="21"/>
          <w:highlight w:val="none"/>
          <w14:textFill>
            <w14:solidFill>
              <w14:schemeClr w14:val="tx1"/>
            </w14:solidFill>
          </w14:textFill>
        </w:rPr>
      </w:pPr>
      <w:r>
        <w:rPr>
          <w:rFonts w:eastAsiaTheme="minorEastAsia"/>
          <w:color w:val="000000" w:themeColor="text1"/>
          <w:szCs w:val="21"/>
          <w:highlight w:val="none"/>
          <w14:textFill>
            <w14:solidFill>
              <w14:schemeClr w14:val="tx1"/>
            </w14:solidFill>
          </w14:textFill>
        </w:rPr>
        <w:t>谈判评审小组应当依据谈判文件的规定认定重大偏差，谈判文件未列明的无效响应文件条款，不得作为否决参与谈判、判定无效响应文件的依据。</w:t>
      </w:r>
    </w:p>
    <w:p w14:paraId="7CEF2060">
      <w:pPr>
        <w:spacing w:line="360" w:lineRule="exact"/>
        <w:ind w:firstLine="420"/>
        <w:jc w:val="left"/>
        <w:rPr>
          <w:rFonts w:eastAsiaTheme="minorEastAsia"/>
          <w:szCs w:val="21"/>
          <w:highlight w:val="none"/>
        </w:rPr>
      </w:pPr>
      <w:r>
        <w:rPr>
          <w:rFonts w:eastAsiaTheme="minorEastAsia"/>
          <w:szCs w:val="21"/>
          <w:highlight w:val="none"/>
        </w:rPr>
        <w:t>3.2.5属于下列情况之一的为细微偏差，细微偏差是指响应文件在实质上响应谈判要求，但在个别地方存在漏项或者提供了不完整的技术信息和数据等情况，并且补正这些遗漏或不完整不会对其他供应商造成不公平的结果。细微偏差不影响响应文件的有效性。评审小组应当书面要求存在细微偏差的供应商在评审结束前予以补正。拒不补正的，在详细评审时可以对细微偏差作不利于该供应商的量化，各项指标均取所有谈判报价中相应指标的最大值：</w:t>
      </w:r>
    </w:p>
    <w:p w14:paraId="7CB9F390">
      <w:pPr>
        <w:spacing w:line="360" w:lineRule="exact"/>
        <w:ind w:firstLine="420"/>
        <w:jc w:val="left"/>
        <w:rPr>
          <w:rFonts w:eastAsiaTheme="minorEastAsia"/>
          <w:szCs w:val="21"/>
          <w:highlight w:val="none"/>
        </w:rPr>
      </w:pPr>
      <w:r>
        <w:rPr>
          <w:rFonts w:eastAsiaTheme="minorEastAsia"/>
          <w:szCs w:val="21"/>
          <w:highlight w:val="none"/>
        </w:rPr>
        <w:t>（1）谈判文件未规定作为重大偏差的，一律为细微偏差；</w:t>
      </w:r>
    </w:p>
    <w:p w14:paraId="04C1E2B6">
      <w:pPr>
        <w:spacing w:line="360" w:lineRule="exact"/>
        <w:ind w:firstLine="420"/>
        <w:jc w:val="left"/>
        <w:rPr>
          <w:rFonts w:eastAsiaTheme="minorEastAsia"/>
          <w:szCs w:val="21"/>
          <w:highlight w:val="none"/>
        </w:rPr>
      </w:pPr>
      <w:r>
        <w:rPr>
          <w:rFonts w:eastAsiaTheme="minorEastAsia"/>
          <w:szCs w:val="21"/>
          <w:highlight w:val="none"/>
        </w:rPr>
        <w:t>（2）对谈判文件中含义不明确、对同类问题表述不一致或者明显的文字错误，谈判评审小组应当在澄清的基础上按照事实求是地反映响应件实质性内容和尽量减少无效响应文件的原则进行补正。</w:t>
      </w:r>
    </w:p>
    <w:p w14:paraId="1D231C49">
      <w:pPr>
        <w:spacing w:line="360" w:lineRule="exact"/>
        <w:ind w:firstLine="420"/>
        <w:jc w:val="left"/>
        <w:rPr>
          <w:rFonts w:eastAsiaTheme="minorEastAsia"/>
          <w:szCs w:val="21"/>
          <w:highlight w:val="none"/>
        </w:rPr>
      </w:pPr>
      <w:r>
        <w:rPr>
          <w:rFonts w:eastAsiaTheme="minorEastAsia"/>
          <w:szCs w:val="21"/>
          <w:highlight w:val="none"/>
        </w:rPr>
        <w:t>（3）对响应文件中的算术计算错误，按照总价金额与单价金额不一致的，以单价金额为准，但单价金额小数点有明显错误的除外的原则进行修正；如果数字表示的金额和用文字表示的金额不一致时，应以文字金额为准。经过调整后的响应文件的谈判报价，经供应商法人委托人签字确认，调整后的谈判报价对供应商起约束作用。如果供应商不接受调整后的谈判报价，则其响应文件将被否绝。</w:t>
      </w:r>
    </w:p>
    <w:p w14:paraId="6700F0E3">
      <w:pPr>
        <w:spacing w:line="360" w:lineRule="exact"/>
        <w:ind w:firstLine="422"/>
        <w:jc w:val="left"/>
        <w:rPr>
          <w:rFonts w:eastAsiaTheme="minorEastAsia"/>
          <w:b/>
          <w:szCs w:val="21"/>
          <w:highlight w:val="none"/>
        </w:rPr>
      </w:pPr>
      <w:bookmarkStart w:id="216" w:name="_Toc520410632"/>
      <w:bookmarkStart w:id="217" w:name="_Toc354417674"/>
      <w:bookmarkStart w:id="218" w:name="_Toc342467878"/>
      <w:bookmarkStart w:id="219" w:name="_Toc475027999"/>
      <w:r>
        <w:rPr>
          <w:rFonts w:eastAsiaTheme="minorEastAsia"/>
          <w:b/>
          <w:szCs w:val="21"/>
          <w:highlight w:val="none"/>
        </w:rPr>
        <w:t>3.4响应文件的澄清和补正</w:t>
      </w:r>
      <w:bookmarkEnd w:id="216"/>
      <w:bookmarkEnd w:id="217"/>
      <w:bookmarkEnd w:id="218"/>
      <w:bookmarkEnd w:id="219"/>
    </w:p>
    <w:p w14:paraId="2A262289">
      <w:pPr>
        <w:spacing w:line="360" w:lineRule="exact"/>
        <w:ind w:firstLine="420"/>
        <w:jc w:val="left"/>
        <w:rPr>
          <w:rFonts w:eastAsiaTheme="minorEastAsia"/>
          <w:szCs w:val="21"/>
          <w:highlight w:val="none"/>
        </w:rPr>
      </w:pPr>
      <w:r>
        <w:rPr>
          <w:rFonts w:eastAsiaTheme="minorEastAsia"/>
          <w:szCs w:val="21"/>
          <w:highlight w:val="none"/>
        </w:rPr>
        <w:t>3.4.1在评审过程中，谈判评审小组应当以书面形式要求供应商对所提交的响应文件中不明确的内容进行书面澄清或说明。谈判评审小组不接受供应商主动提出的澄清、说明或补正。</w:t>
      </w:r>
    </w:p>
    <w:p w14:paraId="1407B518">
      <w:pPr>
        <w:spacing w:line="360" w:lineRule="exact"/>
        <w:ind w:firstLine="420"/>
        <w:jc w:val="left"/>
        <w:rPr>
          <w:rFonts w:eastAsiaTheme="minorEastAsia"/>
          <w:szCs w:val="21"/>
          <w:highlight w:val="none"/>
        </w:rPr>
      </w:pPr>
      <w:r>
        <w:rPr>
          <w:rFonts w:eastAsiaTheme="minorEastAsia"/>
          <w:szCs w:val="21"/>
          <w:highlight w:val="none"/>
        </w:rPr>
        <w:t>3.4.2澄清、说明和补正不得改变响应文件的实质性内容。供应商的书面澄清、说明和补正属于响应文件的组成部分。</w:t>
      </w:r>
    </w:p>
    <w:p w14:paraId="06BB0C99">
      <w:pPr>
        <w:spacing w:line="360" w:lineRule="exact"/>
        <w:ind w:firstLine="420"/>
        <w:jc w:val="left"/>
        <w:rPr>
          <w:rFonts w:eastAsiaTheme="minorEastAsia"/>
          <w:szCs w:val="21"/>
          <w:highlight w:val="none"/>
        </w:rPr>
      </w:pPr>
      <w:r>
        <w:rPr>
          <w:rFonts w:eastAsiaTheme="minorEastAsia"/>
          <w:szCs w:val="21"/>
          <w:highlight w:val="none"/>
        </w:rPr>
        <w:t>3.4.3谈判评审小组对供应商提交的澄清、说明或补正有疑问的，可以要求供应商进一步澄清、说明或补正，直至满足谈判评审小组的要求。</w:t>
      </w:r>
    </w:p>
    <w:p w14:paraId="50DF09DF">
      <w:pPr>
        <w:spacing w:line="360" w:lineRule="exact"/>
        <w:ind w:firstLine="420"/>
        <w:jc w:val="left"/>
        <w:rPr>
          <w:rFonts w:eastAsiaTheme="minorEastAsia"/>
          <w:szCs w:val="21"/>
          <w:highlight w:val="none"/>
        </w:rPr>
      </w:pPr>
      <w:r>
        <w:rPr>
          <w:rFonts w:eastAsiaTheme="minorEastAsia"/>
          <w:szCs w:val="21"/>
          <w:highlight w:val="none"/>
        </w:rPr>
        <w:t>3.4.4在评审过程中，谈判评审小组发现供应商的报价明显低于其他谈判报价，使得其谈判报价可能低于其个别成本的，有可能影响质量或者不能诚信履约的，应当要求其在评审现场合理的时间内提供书面说明并提供相关证明材料。供应商不能合理说明或者不能提供相关证明材料的，谈判评审小组应当否决其响应文件。</w:t>
      </w:r>
    </w:p>
    <w:p w14:paraId="178A8402">
      <w:pPr>
        <w:spacing w:line="360" w:lineRule="exact"/>
        <w:ind w:firstLine="422"/>
        <w:jc w:val="left"/>
        <w:rPr>
          <w:rFonts w:eastAsiaTheme="minorEastAsia"/>
          <w:b/>
          <w:szCs w:val="21"/>
          <w:highlight w:val="none"/>
        </w:rPr>
      </w:pPr>
      <w:bookmarkStart w:id="220" w:name="_Toc354417675"/>
      <w:bookmarkStart w:id="221" w:name="_Toc475028000"/>
      <w:bookmarkStart w:id="222" w:name="_Toc520410633"/>
      <w:r>
        <w:rPr>
          <w:rFonts w:eastAsiaTheme="minorEastAsia"/>
          <w:b/>
          <w:szCs w:val="21"/>
          <w:highlight w:val="none"/>
        </w:rPr>
        <w:t>3.5推荐成交候选人</w:t>
      </w:r>
      <w:bookmarkEnd w:id="220"/>
      <w:bookmarkEnd w:id="221"/>
      <w:bookmarkEnd w:id="222"/>
    </w:p>
    <w:p w14:paraId="37F70BF5">
      <w:pPr>
        <w:spacing w:line="360" w:lineRule="exact"/>
        <w:ind w:firstLine="420"/>
        <w:jc w:val="left"/>
        <w:rPr>
          <w:rFonts w:eastAsiaTheme="minorEastAsia"/>
          <w:szCs w:val="21"/>
          <w:highlight w:val="none"/>
        </w:rPr>
      </w:pPr>
      <w:r>
        <w:rPr>
          <w:rFonts w:eastAsiaTheme="minorEastAsia"/>
          <w:szCs w:val="21"/>
          <w:highlight w:val="none"/>
        </w:rPr>
        <w:t>谈判评审小组在推荐成交候选人时，应遵照以下原则:</w:t>
      </w:r>
    </w:p>
    <w:p w14:paraId="1B927792">
      <w:pPr>
        <w:spacing w:line="360" w:lineRule="exact"/>
        <w:ind w:firstLine="420"/>
        <w:jc w:val="left"/>
        <w:rPr>
          <w:rFonts w:eastAsiaTheme="minorEastAsia"/>
          <w:szCs w:val="21"/>
          <w:highlight w:val="none"/>
        </w:rPr>
      </w:pPr>
      <w:r>
        <w:rPr>
          <w:rFonts w:eastAsiaTheme="minorEastAsia"/>
          <w:szCs w:val="21"/>
          <w:highlight w:val="none"/>
        </w:rPr>
        <w:t>3.5.1</w:t>
      </w:r>
      <w:r>
        <w:rPr>
          <w:rFonts w:eastAsiaTheme="minorEastAsia"/>
          <w:color w:val="000000" w:themeColor="text1"/>
          <w:szCs w:val="21"/>
          <w:highlight w:val="none"/>
          <w14:textFill>
            <w14:solidFill>
              <w14:schemeClr w14:val="tx1"/>
            </w14:solidFill>
          </w14:textFill>
        </w:rPr>
        <w:t>谈判评审小组按照最终报价由低</w:t>
      </w:r>
      <w:r>
        <w:rPr>
          <w:rFonts w:hint="eastAsia" w:eastAsiaTheme="minorEastAsia"/>
          <w:color w:val="000000" w:themeColor="text1"/>
          <w:szCs w:val="21"/>
          <w:highlight w:val="none"/>
          <w14:textFill>
            <w14:solidFill>
              <w14:schemeClr w14:val="tx1"/>
            </w14:solidFill>
          </w14:textFill>
        </w:rPr>
        <w:t>到</w:t>
      </w:r>
      <w:r>
        <w:rPr>
          <w:rFonts w:eastAsiaTheme="minorEastAsia"/>
          <w:color w:val="000000" w:themeColor="text1"/>
          <w:szCs w:val="21"/>
          <w:highlight w:val="none"/>
          <w14:textFill>
            <w14:solidFill>
              <w14:schemeClr w14:val="tx1"/>
            </w14:solidFill>
          </w14:textFill>
        </w:rPr>
        <w:t>高的次序排列，推荐</w:t>
      </w:r>
      <w:r>
        <w:rPr>
          <w:rFonts w:hint="eastAsia" w:eastAsiaTheme="minorEastAsia"/>
          <w:color w:val="000000" w:themeColor="text1"/>
          <w:szCs w:val="21"/>
          <w:highlight w:val="none"/>
          <w14:textFill>
            <w14:solidFill>
              <w14:schemeClr w14:val="tx1"/>
            </w14:solidFill>
          </w14:textFill>
        </w:rPr>
        <w:t>3</w:t>
      </w:r>
      <w:r>
        <w:rPr>
          <w:rFonts w:eastAsiaTheme="minorEastAsia"/>
          <w:color w:val="000000" w:themeColor="text1"/>
          <w:szCs w:val="21"/>
          <w:highlight w:val="none"/>
          <w14:textFill>
            <w14:solidFill>
              <w14:schemeClr w14:val="tx1"/>
            </w14:solidFill>
          </w14:textFill>
        </w:rPr>
        <w:t>名成交候选人</w:t>
      </w:r>
      <w:r>
        <w:rPr>
          <w:rFonts w:eastAsiaTheme="minorEastAsia"/>
          <w:szCs w:val="21"/>
          <w:highlight w:val="none"/>
        </w:rPr>
        <w:t>。</w:t>
      </w:r>
    </w:p>
    <w:p w14:paraId="5D01CD0A">
      <w:pPr>
        <w:spacing w:line="360" w:lineRule="exact"/>
        <w:ind w:firstLine="420"/>
        <w:jc w:val="left"/>
        <w:rPr>
          <w:rFonts w:eastAsiaTheme="minorEastAsia"/>
          <w:szCs w:val="21"/>
          <w:highlight w:val="none"/>
        </w:rPr>
      </w:pPr>
      <w:r>
        <w:rPr>
          <w:rFonts w:eastAsiaTheme="minorEastAsia"/>
          <w:szCs w:val="21"/>
          <w:highlight w:val="none"/>
        </w:rPr>
        <w:t>3.5.2当供应商最终谈判报价均不被采购人接受或供应商最终谈判报价均与最高限价异常接近、经谈判评审小组认定明显缺乏竞争性时，谈判失败，由采购人重新组织采购。</w:t>
      </w:r>
    </w:p>
    <w:p w14:paraId="2923F0E5">
      <w:pPr>
        <w:spacing w:line="360" w:lineRule="exact"/>
        <w:ind w:firstLine="420"/>
        <w:jc w:val="left"/>
        <w:rPr>
          <w:rFonts w:eastAsiaTheme="minorEastAsia"/>
          <w:szCs w:val="21"/>
          <w:highlight w:val="none"/>
        </w:rPr>
      </w:pPr>
      <w:r>
        <w:rPr>
          <w:rFonts w:hint="eastAsia" w:eastAsiaTheme="minorEastAsia"/>
          <w:szCs w:val="21"/>
          <w:highlight w:val="none"/>
        </w:rPr>
        <w:t>3.5.3</w:t>
      </w:r>
      <w:r>
        <w:rPr>
          <w:rFonts w:eastAsiaTheme="minorEastAsia"/>
          <w:szCs w:val="21"/>
          <w:highlight w:val="none"/>
        </w:rPr>
        <w:t>当参与采购活动且符合</w:t>
      </w:r>
      <w:r>
        <w:rPr>
          <w:rFonts w:eastAsiaTheme="minorEastAsia"/>
          <w:b/>
          <w:bCs/>
          <w:szCs w:val="21"/>
          <w:highlight w:val="none"/>
        </w:rPr>
        <w:t>相应资格条件</w:t>
      </w:r>
      <w:r>
        <w:rPr>
          <w:rFonts w:eastAsiaTheme="minorEastAsia"/>
          <w:szCs w:val="21"/>
          <w:highlight w:val="none"/>
        </w:rPr>
        <w:t>的供应商少于3家时，谈判失败，由采购人重新组织采购。连续两次公告</w:t>
      </w:r>
      <w:r>
        <w:rPr>
          <w:rFonts w:hint="eastAsia" w:eastAsiaTheme="minorEastAsia"/>
          <w:szCs w:val="21"/>
          <w:highlight w:val="none"/>
        </w:rPr>
        <w:t>递交</w:t>
      </w:r>
      <w:r>
        <w:rPr>
          <w:rFonts w:eastAsiaTheme="minorEastAsia"/>
          <w:szCs w:val="21"/>
          <w:highlight w:val="none"/>
        </w:rPr>
        <w:t>响应文件</w:t>
      </w:r>
      <w:r>
        <w:rPr>
          <w:rFonts w:hint="eastAsia" w:eastAsiaTheme="minorEastAsia"/>
          <w:szCs w:val="21"/>
          <w:highlight w:val="none"/>
        </w:rPr>
        <w:t>的</w:t>
      </w:r>
      <w:r>
        <w:rPr>
          <w:rFonts w:eastAsiaTheme="minorEastAsia"/>
          <w:szCs w:val="21"/>
          <w:highlight w:val="none"/>
        </w:rPr>
        <w:t>供应商不足3家（含3家）的，采购人可优先组织第二次已递交响应文件的供应商进行竞争性谈判，确定成交供应商。</w:t>
      </w:r>
    </w:p>
    <w:bookmarkEnd w:id="155"/>
    <w:p w14:paraId="62DD491F">
      <w:pPr>
        <w:spacing w:line="360" w:lineRule="exact"/>
        <w:ind w:firstLine="420"/>
        <w:jc w:val="left"/>
        <w:rPr>
          <w:szCs w:val="21"/>
          <w:highlight w:val="none"/>
        </w:rPr>
      </w:pPr>
      <w:bookmarkStart w:id="223" w:name="_Toc520666374"/>
      <w:r>
        <w:rPr>
          <w:szCs w:val="21"/>
          <w:highlight w:val="none"/>
        </w:rPr>
        <w:t>3.5.</w:t>
      </w:r>
      <w:r>
        <w:rPr>
          <w:rFonts w:hint="eastAsia"/>
          <w:szCs w:val="21"/>
          <w:highlight w:val="none"/>
        </w:rPr>
        <w:t>4</w:t>
      </w:r>
      <w:r>
        <w:rPr>
          <w:szCs w:val="21"/>
          <w:highlight w:val="none"/>
        </w:rPr>
        <w:t>经谈判评审小组评审后符合</w:t>
      </w:r>
      <w:r>
        <w:rPr>
          <w:b/>
          <w:bCs/>
          <w:szCs w:val="21"/>
          <w:highlight w:val="none"/>
        </w:rPr>
        <w:t>相应资格条件</w:t>
      </w:r>
      <w:r>
        <w:rPr>
          <w:szCs w:val="21"/>
          <w:highlight w:val="none"/>
        </w:rPr>
        <w:t>的供应商满足3家时，如果谈判评审小组根据本章的规定作响应文件无效处理后，有效响应文件不足三个，谈判评审小组应当对有效响应文件是否仍具有竞争性进行评审。谈判评审小组一致认为有效响应文件仍具有竞争性的，按有效响应文件</w:t>
      </w:r>
      <w:r>
        <w:rPr>
          <w:rFonts w:hint="eastAsia"/>
          <w:szCs w:val="21"/>
          <w:highlight w:val="none"/>
        </w:rPr>
        <w:t>最终报价由低到高</w:t>
      </w:r>
      <w:r>
        <w:rPr>
          <w:szCs w:val="21"/>
          <w:highlight w:val="none"/>
        </w:rPr>
        <w:t>的次序推荐成交候选人；缺乏竞争性的或谈判评审小组对有效响应文件是否仍具有竞争性无法达成一致意见的，谈判评审小组应当否决全部响应文件。谈判评审小组应当在评审报告中记载论证过程和结果。</w:t>
      </w:r>
    </w:p>
    <w:p w14:paraId="5E4B127C">
      <w:pPr>
        <w:spacing w:line="360" w:lineRule="exact"/>
        <w:ind w:firstLine="420"/>
        <w:jc w:val="left"/>
        <w:rPr>
          <w:szCs w:val="21"/>
          <w:highlight w:val="none"/>
        </w:rPr>
      </w:pPr>
      <w:r>
        <w:rPr>
          <w:szCs w:val="21"/>
          <w:highlight w:val="none"/>
        </w:rPr>
        <w:t>3.5.</w:t>
      </w:r>
      <w:r>
        <w:rPr>
          <w:rFonts w:hint="eastAsia"/>
          <w:szCs w:val="21"/>
          <w:highlight w:val="none"/>
        </w:rPr>
        <w:t>5</w:t>
      </w:r>
      <w:r>
        <w:rPr>
          <w:szCs w:val="21"/>
          <w:highlight w:val="none"/>
        </w:rPr>
        <w:t>谈判评审小组完成评审后，应当向采购人提交评审报告。</w:t>
      </w:r>
    </w:p>
    <w:p w14:paraId="0111124A">
      <w:pPr>
        <w:spacing w:line="360" w:lineRule="exact"/>
        <w:ind w:firstLine="420"/>
        <w:jc w:val="left"/>
        <w:rPr>
          <w:szCs w:val="21"/>
          <w:highlight w:val="none"/>
        </w:rPr>
      </w:pPr>
      <w:r>
        <w:rPr>
          <w:szCs w:val="21"/>
          <w:highlight w:val="none"/>
        </w:rPr>
        <w:br w:type="page"/>
      </w:r>
    </w:p>
    <w:bookmarkEnd w:id="223"/>
    <w:p w14:paraId="063DFE59">
      <w:pPr>
        <w:pStyle w:val="4"/>
        <w:ind w:firstLine="720"/>
        <w:jc w:val="center"/>
        <w:rPr>
          <w:highlight w:val="none"/>
        </w:rPr>
      </w:pPr>
      <w:bookmarkStart w:id="224" w:name="_Toc21789"/>
      <w:bookmarkStart w:id="225" w:name="_Toc5372"/>
      <w:bookmarkStart w:id="226" w:name="_Toc7559"/>
      <w:bookmarkStart w:id="227" w:name="_Toc12948"/>
      <w:bookmarkStart w:id="228" w:name="_Toc12025631"/>
      <w:r>
        <w:rPr>
          <w:highlight w:val="none"/>
        </w:rPr>
        <w:t xml:space="preserve">第四章  </w:t>
      </w:r>
      <w:r>
        <w:rPr>
          <w:rFonts w:hint="eastAsia"/>
          <w:highlight w:val="none"/>
        </w:rPr>
        <w:t xml:space="preserve"> 任务书</w:t>
      </w:r>
      <w:bookmarkEnd w:id="224"/>
      <w:bookmarkEnd w:id="225"/>
      <w:bookmarkEnd w:id="226"/>
      <w:bookmarkEnd w:id="227"/>
    </w:p>
    <w:p w14:paraId="0E829F92">
      <w:pPr>
        <w:spacing w:line="360" w:lineRule="auto"/>
        <w:ind w:firstLine="964"/>
        <w:jc w:val="center"/>
        <w:rPr>
          <w:rFonts w:hint="eastAsia" w:ascii="宋体" w:hAnsi="宋体"/>
          <w:b/>
          <w:bCs/>
          <w:color w:val="000000"/>
          <w:sz w:val="48"/>
          <w:highlight w:val="none"/>
        </w:rPr>
      </w:pPr>
    </w:p>
    <w:p w14:paraId="1ADBD2AB">
      <w:pPr>
        <w:keepNext/>
        <w:keepLines/>
        <w:spacing w:line="360" w:lineRule="auto"/>
        <w:ind w:left="0" w:leftChars="0" w:firstLine="0" w:firstLineChars="0"/>
        <w:jc w:val="center"/>
        <w:outlineLvl w:val="0"/>
        <w:rPr>
          <w:rFonts w:hint="eastAsia" w:ascii="Times New Roman" w:hAnsi="Times New Roman" w:eastAsia="黑体" w:cs="Times New Roman"/>
          <w:b/>
          <w:bCs/>
          <w:color w:val="000000"/>
          <w:kern w:val="44"/>
          <w:sz w:val="40"/>
          <w:szCs w:val="52"/>
          <w:highlight w:val="none"/>
        </w:rPr>
      </w:pPr>
      <w:bookmarkStart w:id="229" w:name="_Toc18676"/>
      <w:bookmarkStart w:id="230" w:name="_Toc7012"/>
      <w:r>
        <w:rPr>
          <w:rFonts w:hint="eastAsia" w:ascii="Times New Roman" w:hAnsi="Times New Roman" w:eastAsia="黑体" w:cs="Times New Roman"/>
          <w:b/>
          <w:bCs/>
          <w:color w:val="000000"/>
          <w:kern w:val="44"/>
          <w:sz w:val="40"/>
          <w:szCs w:val="52"/>
          <w:highlight w:val="none"/>
        </w:rPr>
        <w:t>202</w:t>
      </w:r>
      <w:r>
        <w:rPr>
          <w:rFonts w:hint="eastAsia" w:ascii="Times New Roman" w:hAnsi="Times New Roman" w:eastAsia="黑体" w:cs="Times New Roman"/>
          <w:b/>
          <w:bCs/>
          <w:color w:val="000000"/>
          <w:kern w:val="44"/>
          <w:sz w:val="40"/>
          <w:szCs w:val="52"/>
          <w:highlight w:val="none"/>
          <w:lang w:val="en-US" w:eastAsia="zh-CN"/>
        </w:rPr>
        <w:t>6</w:t>
      </w:r>
      <w:r>
        <w:rPr>
          <w:rFonts w:hint="eastAsia" w:ascii="Times New Roman" w:hAnsi="Times New Roman" w:eastAsia="黑体" w:cs="Times New Roman"/>
          <w:b/>
          <w:bCs/>
          <w:color w:val="000000"/>
          <w:kern w:val="44"/>
          <w:sz w:val="40"/>
          <w:szCs w:val="52"/>
          <w:highlight w:val="none"/>
        </w:rPr>
        <w:t>-202</w:t>
      </w:r>
      <w:r>
        <w:rPr>
          <w:rFonts w:hint="eastAsia" w:eastAsia="黑体" w:cs="Times New Roman"/>
          <w:b/>
          <w:bCs/>
          <w:color w:val="000000"/>
          <w:kern w:val="44"/>
          <w:sz w:val="40"/>
          <w:szCs w:val="52"/>
          <w:highlight w:val="none"/>
          <w:lang w:val="en-US" w:eastAsia="zh-CN"/>
        </w:rPr>
        <w:t>8</w:t>
      </w:r>
      <w:r>
        <w:rPr>
          <w:rFonts w:hint="eastAsia" w:ascii="Times New Roman" w:hAnsi="Times New Roman" w:eastAsia="黑体" w:cs="Times New Roman"/>
          <w:b/>
          <w:bCs/>
          <w:color w:val="000000"/>
          <w:kern w:val="44"/>
          <w:sz w:val="40"/>
          <w:szCs w:val="52"/>
          <w:highlight w:val="none"/>
        </w:rPr>
        <w:t>年综保区冷链保险服务采购项目</w:t>
      </w:r>
      <w:bookmarkEnd w:id="229"/>
      <w:bookmarkEnd w:id="230"/>
    </w:p>
    <w:p w14:paraId="03779540">
      <w:pPr>
        <w:keepNext/>
        <w:keepLines/>
        <w:spacing w:line="360" w:lineRule="auto"/>
        <w:ind w:left="0" w:leftChars="0" w:firstLine="0" w:firstLineChars="0"/>
        <w:jc w:val="center"/>
        <w:outlineLvl w:val="0"/>
        <w:rPr>
          <w:rFonts w:hint="eastAsia" w:ascii="宋体" w:hAnsi="宋体" w:eastAsia="方正仿宋_GBK" w:cs="Times New Roman"/>
          <w:b/>
          <w:color w:val="000000"/>
          <w:sz w:val="36"/>
          <w:szCs w:val="36"/>
          <w:highlight w:val="none"/>
        </w:rPr>
      </w:pPr>
      <w:bookmarkStart w:id="231" w:name="_Toc468"/>
      <w:bookmarkStart w:id="232" w:name="_Toc3696"/>
      <w:r>
        <w:rPr>
          <w:rFonts w:hint="eastAsia" w:ascii="Times New Roman" w:hAnsi="Times New Roman" w:eastAsia="黑体" w:cs="Times New Roman"/>
          <w:b/>
          <w:bCs/>
          <w:color w:val="000000"/>
          <w:kern w:val="44"/>
          <w:sz w:val="40"/>
          <w:szCs w:val="52"/>
          <w:highlight w:val="none"/>
        </w:rPr>
        <w:t>项目任务书</w:t>
      </w:r>
      <w:bookmarkEnd w:id="231"/>
      <w:bookmarkEnd w:id="232"/>
    </w:p>
    <w:p w14:paraId="698FCEB4">
      <w:pPr>
        <w:keepNext w:val="0"/>
        <w:keepLines w:val="0"/>
        <w:pageBreakBefore w:val="0"/>
        <w:widowControl w:val="0"/>
        <w:kinsoku/>
        <w:wordWrap/>
        <w:overflowPunct/>
        <w:topLinePunct w:val="0"/>
        <w:autoSpaceDE/>
        <w:autoSpaceDN/>
        <w:bidi w:val="0"/>
        <w:adjustRightInd/>
        <w:spacing w:line="440" w:lineRule="exact"/>
        <w:ind w:firstLine="560" w:firstLineChars="200"/>
        <w:textAlignment w:val="auto"/>
        <w:rPr>
          <w:rFonts w:hint="eastAsia" w:ascii="方正黑体_GBK" w:hAnsi="方正黑体_GBK" w:eastAsia="方正黑体_GBK" w:cs="方正黑体_GBK"/>
          <w:color w:val="000000"/>
          <w:sz w:val="28"/>
          <w:szCs w:val="28"/>
          <w:highlight w:val="none"/>
        </w:rPr>
      </w:pPr>
      <w:r>
        <w:rPr>
          <w:rFonts w:hint="eastAsia" w:ascii="方正黑体_GBK" w:hAnsi="方正黑体_GBK" w:eastAsia="方正黑体_GBK" w:cs="方正黑体_GBK"/>
          <w:color w:val="000000"/>
          <w:sz w:val="28"/>
          <w:szCs w:val="28"/>
          <w:highlight w:val="none"/>
        </w:rPr>
        <w:t>一、项目概况</w:t>
      </w:r>
    </w:p>
    <w:p w14:paraId="287795FD">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方正仿宋_GBK" w:cs="Times New Roman"/>
          <w:sz w:val="28"/>
          <w:highlight w:val="none"/>
        </w:rPr>
      </w:pPr>
      <w:r>
        <w:rPr>
          <w:rFonts w:hint="eastAsia" w:ascii="Times New Roman" w:hAnsi="Times New Roman" w:eastAsia="方正仿宋_GBK" w:cs="Times New Roman"/>
          <w:sz w:val="28"/>
          <w:highlight w:val="none"/>
        </w:rPr>
        <w:t>连云港徐圩</w:t>
      </w:r>
      <w:r>
        <w:rPr>
          <w:rFonts w:hint="eastAsia" w:eastAsia="方正仿宋_GBK" w:cs="Times New Roman"/>
          <w:sz w:val="28"/>
          <w:highlight w:val="none"/>
          <w:lang w:eastAsia="zh-CN"/>
        </w:rPr>
        <w:t>冷链保税服务</w:t>
      </w:r>
      <w:r>
        <w:rPr>
          <w:rFonts w:hint="eastAsia" w:ascii="Times New Roman" w:hAnsi="Times New Roman" w:eastAsia="方正仿宋_GBK" w:cs="Times New Roman"/>
          <w:sz w:val="28"/>
          <w:highlight w:val="none"/>
        </w:rPr>
        <w:t>有限公司</w:t>
      </w:r>
      <w:r>
        <w:rPr>
          <w:rFonts w:hint="eastAsia" w:ascii="Times New Roman" w:hAnsi="Times New Roman" w:eastAsia="方正仿宋_GBK" w:cs="Times New Roman"/>
          <w:sz w:val="28"/>
          <w:highlight w:val="none"/>
          <w:lang w:eastAsia="zh-CN"/>
        </w:rPr>
        <w:t>（</w:t>
      </w:r>
      <w:r>
        <w:rPr>
          <w:rFonts w:hint="eastAsia" w:ascii="Times New Roman" w:hAnsi="Times New Roman" w:eastAsia="方正仿宋_GBK" w:cs="Times New Roman"/>
          <w:sz w:val="28"/>
          <w:highlight w:val="none"/>
          <w:lang w:val="en-US" w:eastAsia="zh-CN"/>
        </w:rPr>
        <w:t>以下简称“被保险人”</w:t>
      </w:r>
      <w:r>
        <w:rPr>
          <w:rFonts w:hint="eastAsia" w:ascii="Times New Roman" w:hAnsi="Times New Roman" w:eastAsia="方正仿宋_GBK" w:cs="Times New Roman"/>
          <w:sz w:val="28"/>
          <w:highlight w:val="none"/>
          <w:lang w:eastAsia="zh-CN"/>
        </w:rPr>
        <w:t>）</w:t>
      </w:r>
      <w:r>
        <w:rPr>
          <w:rFonts w:hint="eastAsia" w:ascii="Times New Roman" w:hAnsi="Times New Roman" w:eastAsia="方正仿宋_GBK" w:cs="Times New Roman"/>
          <w:sz w:val="28"/>
          <w:highlight w:val="none"/>
          <w:lang w:val="en-US" w:eastAsia="zh-CN"/>
        </w:rPr>
        <w:t>在</w:t>
      </w:r>
      <w:r>
        <w:rPr>
          <w:rFonts w:hint="eastAsia" w:eastAsia="方正仿宋_GBK" w:cs="Times New Roman"/>
          <w:sz w:val="28"/>
          <w:highlight w:val="none"/>
          <w:lang w:val="en-US" w:eastAsia="zh-CN"/>
        </w:rPr>
        <w:t>连云港综</w:t>
      </w:r>
      <w:r>
        <w:rPr>
          <w:rFonts w:hint="eastAsia" w:ascii="Times New Roman" w:hAnsi="Times New Roman" w:eastAsia="方正仿宋_GBK" w:cs="Times New Roman"/>
          <w:sz w:val="28"/>
          <w:highlight w:val="none"/>
          <w:lang w:val="en-US" w:eastAsia="zh-CN"/>
        </w:rPr>
        <w:t>合保税区（徐圩片区）经营</w:t>
      </w:r>
      <w:r>
        <w:rPr>
          <w:rFonts w:hint="eastAsia" w:ascii="Times New Roman" w:hAnsi="Times New Roman" w:eastAsia="方正仿宋_GBK" w:cs="Times New Roman"/>
          <w:sz w:val="28"/>
          <w:highlight w:val="none"/>
          <w:lang w:eastAsia="zh-CN"/>
        </w:rPr>
        <w:t>冷链</w:t>
      </w:r>
      <w:r>
        <w:rPr>
          <w:rFonts w:hint="eastAsia" w:ascii="Times New Roman" w:hAnsi="Times New Roman" w:eastAsia="方正仿宋_GBK" w:cs="Times New Roman"/>
          <w:sz w:val="28"/>
          <w:highlight w:val="none"/>
          <w:lang w:val="en-US" w:eastAsia="zh-CN"/>
        </w:rPr>
        <w:t>1-3#查验存储一体库及1#加工配送车间，其中，1-3#</w:t>
      </w:r>
      <w:r>
        <w:rPr>
          <w:rFonts w:hint="default" w:ascii="Times New Roman" w:hAnsi="Times New Roman" w:eastAsia="方正仿宋_GBK" w:cs="Times New Roman"/>
          <w:sz w:val="28"/>
          <w:highlight w:val="none"/>
          <w:lang w:val="en-US" w:eastAsia="zh-CN"/>
        </w:rPr>
        <w:t>查验存储一体库</w:t>
      </w:r>
      <w:r>
        <w:rPr>
          <w:rFonts w:hint="eastAsia" w:ascii="Times New Roman" w:hAnsi="Times New Roman" w:eastAsia="方正仿宋_GBK" w:cs="Times New Roman"/>
          <w:sz w:val="28"/>
          <w:highlight w:val="none"/>
          <w:lang w:val="en-US" w:eastAsia="zh-CN"/>
        </w:rPr>
        <w:t>单体建筑面积约1.04万平方米，分别包含6间独立冷库（2间保鲜库-2~10℃，4间冷冻库-18~-25℃），每间冷库面积约900平米；1#</w:t>
      </w:r>
      <w:r>
        <w:rPr>
          <w:rFonts w:hint="default" w:ascii="Times New Roman" w:hAnsi="Times New Roman" w:eastAsia="方正仿宋_GBK" w:cs="Times New Roman"/>
          <w:sz w:val="28"/>
          <w:highlight w:val="none"/>
          <w:lang w:val="en-US" w:eastAsia="zh-CN"/>
        </w:rPr>
        <w:t>加工配送</w:t>
      </w:r>
      <w:r>
        <w:rPr>
          <w:rFonts w:hint="eastAsia" w:ascii="Times New Roman" w:hAnsi="Times New Roman" w:eastAsia="方正仿宋_GBK" w:cs="Times New Roman"/>
          <w:sz w:val="28"/>
          <w:highlight w:val="none"/>
          <w:lang w:val="en-US" w:eastAsia="zh-CN"/>
        </w:rPr>
        <w:t>库两</w:t>
      </w:r>
      <w:r>
        <w:rPr>
          <w:rFonts w:hint="default" w:ascii="Times New Roman" w:hAnsi="Times New Roman" w:eastAsia="方正仿宋_GBK" w:cs="Times New Roman"/>
          <w:sz w:val="28"/>
          <w:highlight w:val="none"/>
          <w:lang w:val="en-US" w:eastAsia="zh-CN"/>
        </w:rPr>
        <w:t>层，建筑面积共约1.</w:t>
      </w:r>
      <w:r>
        <w:rPr>
          <w:rFonts w:hint="eastAsia" w:ascii="Times New Roman" w:hAnsi="Times New Roman" w:eastAsia="方正仿宋_GBK" w:cs="Times New Roman"/>
          <w:sz w:val="28"/>
          <w:highlight w:val="none"/>
          <w:lang w:val="en-US" w:eastAsia="zh-CN"/>
        </w:rPr>
        <w:t>7</w:t>
      </w:r>
      <w:r>
        <w:rPr>
          <w:rFonts w:hint="default" w:ascii="Times New Roman" w:hAnsi="Times New Roman" w:eastAsia="方正仿宋_GBK" w:cs="Times New Roman"/>
          <w:sz w:val="28"/>
          <w:highlight w:val="none"/>
          <w:lang w:val="en-US" w:eastAsia="zh-CN"/>
        </w:rPr>
        <w:t>万平方米</w:t>
      </w:r>
      <w:r>
        <w:rPr>
          <w:rFonts w:hint="eastAsia" w:ascii="Times New Roman" w:hAnsi="Times New Roman" w:eastAsia="方正仿宋_GBK" w:cs="Times New Roman"/>
          <w:sz w:val="28"/>
          <w:highlight w:val="none"/>
          <w:lang w:val="en-US" w:eastAsia="zh-CN"/>
        </w:rPr>
        <w:t>，一、二层分别设置4间独立冷库，2间冷冻库-18~-20℃，每间130平方米；2间冷藏库-1~10℃，分别为174平方米和87平方米。</w:t>
      </w:r>
      <w:r>
        <w:rPr>
          <w:rFonts w:hint="eastAsia" w:ascii="Times New Roman" w:hAnsi="Times New Roman" w:eastAsia="方正仿宋_GBK" w:cs="Times New Roman"/>
          <w:sz w:val="28"/>
          <w:highlight w:val="none"/>
        </w:rPr>
        <w:t>为保障</w:t>
      </w:r>
      <w:r>
        <w:rPr>
          <w:rFonts w:hint="eastAsia" w:ascii="Times New Roman" w:hAnsi="Times New Roman" w:eastAsia="方正仿宋_GBK" w:cs="Times New Roman"/>
          <w:sz w:val="28"/>
          <w:highlight w:val="none"/>
          <w:lang w:eastAsia="zh-CN"/>
        </w:rPr>
        <w:t>甲方</w:t>
      </w:r>
      <w:r>
        <w:rPr>
          <w:rFonts w:hint="eastAsia" w:ascii="Times New Roman" w:hAnsi="Times New Roman" w:eastAsia="方正仿宋_GBK" w:cs="Times New Roman"/>
          <w:sz w:val="28"/>
          <w:highlight w:val="none"/>
        </w:rPr>
        <w:t>财产和人员的安全，</w:t>
      </w:r>
      <w:r>
        <w:rPr>
          <w:rFonts w:hint="eastAsia" w:ascii="Times New Roman" w:hAnsi="Times New Roman" w:eastAsia="方正仿宋_GBK" w:cs="Times New Roman"/>
          <w:sz w:val="28"/>
          <w:highlight w:val="none"/>
          <w:lang w:val="en-US" w:eastAsia="zh-CN"/>
        </w:rPr>
        <w:t>需</w:t>
      </w:r>
      <w:r>
        <w:rPr>
          <w:rFonts w:hint="eastAsia" w:ascii="Times New Roman" w:hAnsi="Times New Roman" w:eastAsia="方正仿宋_GBK" w:cs="Times New Roman"/>
          <w:sz w:val="28"/>
          <w:highlight w:val="none"/>
        </w:rPr>
        <w:t>购买</w:t>
      </w:r>
      <w:r>
        <w:rPr>
          <w:rFonts w:hint="eastAsia" w:eastAsia="方正仿宋_GBK" w:cs="Times New Roman"/>
          <w:sz w:val="28"/>
          <w:highlight w:val="none"/>
          <w:lang w:eastAsia="zh-CN"/>
        </w:rPr>
        <w:t>冷链</w:t>
      </w:r>
      <w:r>
        <w:rPr>
          <w:rFonts w:hint="eastAsia" w:ascii="Times New Roman" w:hAnsi="Times New Roman" w:eastAsia="方正仿宋_GBK" w:cs="Times New Roman"/>
          <w:sz w:val="28"/>
          <w:highlight w:val="none"/>
        </w:rPr>
        <w:t>综合保险</w:t>
      </w:r>
      <w:r>
        <w:rPr>
          <w:rFonts w:hint="eastAsia" w:eastAsia="方正仿宋_GBK" w:cs="Times New Roman"/>
          <w:sz w:val="28"/>
          <w:highlight w:val="none"/>
          <w:lang w:eastAsia="zh-CN"/>
        </w:rPr>
        <w:t>，</w:t>
      </w:r>
      <w:r>
        <w:rPr>
          <w:rFonts w:hint="eastAsia" w:ascii="Times New Roman" w:hAnsi="Times New Roman" w:eastAsia="方正仿宋_GBK" w:cs="Times New Roman"/>
          <w:b/>
          <w:bCs/>
          <w:sz w:val="28"/>
          <w:highlight w:val="none"/>
        </w:rPr>
        <w:t>包含</w:t>
      </w:r>
      <w:r>
        <w:rPr>
          <w:rFonts w:hint="eastAsia" w:ascii="Times New Roman" w:hAnsi="Times New Roman" w:eastAsia="方正仿宋_GBK" w:cs="Times New Roman"/>
          <w:sz w:val="28"/>
          <w:highlight w:val="none"/>
        </w:rPr>
        <w:t>：财产一切险、</w:t>
      </w:r>
      <w:r>
        <w:rPr>
          <w:rFonts w:hint="eastAsia" w:ascii="Times New Roman" w:hAnsi="Times New Roman" w:eastAsia="方正仿宋_GBK" w:cs="Times New Roman"/>
          <w:sz w:val="28"/>
          <w:highlight w:val="none"/>
          <w:lang w:val="en-US" w:eastAsia="zh-CN"/>
        </w:rPr>
        <w:t>安全生产责任险</w:t>
      </w:r>
      <w:r>
        <w:rPr>
          <w:rFonts w:hint="eastAsia" w:ascii="Times New Roman" w:hAnsi="Times New Roman" w:eastAsia="方正仿宋_GBK" w:cs="Times New Roman"/>
          <w:sz w:val="28"/>
          <w:highlight w:val="none"/>
        </w:rPr>
        <w:t>、公众责任险。</w:t>
      </w:r>
    </w:p>
    <w:p w14:paraId="73181B08">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textAlignment w:val="auto"/>
        <w:rPr>
          <w:rFonts w:hint="eastAsia" w:eastAsia="方正黑体_GBK" w:cs="Times New Roman"/>
          <w:color w:val="000000"/>
          <w:sz w:val="28"/>
          <w:szCs w:val="28"/>
          <w:highlight w:val="none"/>
          <w:lang w:val="en-US" w:eastAsia="zh-CN"/>
        </w:rPr>
      </w:pPr>
      <w:r>
        <w:rPr>
          <w:rFonts w:hint="eastAsia" w:ascii="方正黑体_GBK" w:hAnsi="方正黑体_GBK" w:eastAsia="方正黑体_GBK" w:cs="方正黑体_GBK"/>
          <w:color w:val="000000"/>
          <w:sz w:val="28"/>
          <w:szCs w:val="28"/>
          <w:highlight w:val="none"/>
          <w:lang w:val="en-US" w:eastAsia="zh-CN"/>
        </w:rPr>
        <w:t>二、服务期限：</w:t>
      </w:r>
      <w:r>
        <w:rPr>
          <w:rFonts w:hint="eastAsia" w:eastAsia="方正黑体_GBK" w:cs="Times New Roman"/>
          <w:color w:val="000000"/>
          <w:sz w:val="28"/>
          <w:szCs w:val="28"/>
          <w:highlight w:val="none"/>
          <w:lang w:val="en-US" w:eastAsia="zh-CN"/>
        </w:rPr>
        <w:t>730天。</w:t>
      </w:r>
    </w:p>
    <w:p w14:paraId="54A8E00C">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方正仿宋_GBK" w:cs="Times New Roman"/>
          <w:sz w:val="28"/>
          <w:highlight w:val="none"/>
          <w:lang w:val="en-US" w:eastAsia="zh-CN"/>
        </w:rPr>
      </w:pPr>
      <w:r>
        <w:rPr>
          <w:rFonts w:hint="eastAsia" w:ascii="方正黑体_GBK" w:hAnsi="方正黑体_GBK" w:eastAsia="方正黑体_GBK" w:cs="方正黑体_GBK"/>
          <w:color w:val="000000"/>
          <w:sz w:val="28"/>
          <w:szCs w:val="28"/>
          <w:highlight w:val="none"/>
          <w:lang w:val="en-US" w:eastAsia="zh-CN"/>
        </w:rPr>
        <w:t>三</w:t>
      </w:r>
      <w:r>
        <w:rPr>
          <w:rFonts w:hint="eastAsia" w:ascii="方正黑体_GBK" w:hAnsi="方正黑体_GBK" w:eastAsia="方正黑体_GBK" w:cs="方正黑体_GBK"/>
          <w:color w:val="000000"/>
          <w:sz w:val="28"/>
          <w:szCs w:val="28"/>
          <w:highlight w:val="none"/>
        </w:rPr>
        <w:t>、</w:t>
      </w:r>
      <w:r>
        <w:rPr>
          <w:rFonts w:hint="eastAsia" w:ascii="方正黑体_GBK" w:hAnsi="方正黑体_GBK" w:eastAsia="方正黑体_GBK" w:cs="方正黑体_GBK"/>
          <w:color w:val="000000"/>
          <w:sz w:val="28"/>
          <w:szCs w:val="28"/>
          <w:highlight w:val="none"/>
          <w:lang w:val="en-US" w:eastAsia="zh-CN"/>
        </w:rPr>
        <w:t>保险险种范围</w:t>
      </w:r>
    </w:p>
    <w:p w14:paraId="5F6266E9">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方正仿宋_GBK" w:cs="Times New Roman"/>
          <w:color w:val="000000" w:themeColor="text1"/>
          <w:sz w:val="28"/>
          <w:highlight w:val="none"/>
          <w:lang w:val="en-US" w:eastAsia="zh-CN"/>
          <w14:textFill>
            <w14:solidFill>
              <w14:schemeClr w14:val="tx1"/>
            </w14:solidFill>
          </w14:textFill>
        </w:rPr>
      </w:pPr>
      <w:r>
        <w:rPr>
          <w:rFonts w:hint="eastAsia" w:ascii="Times New Roman" w:hAnsi="Times New Roman" w:eastAsia="方正仿宋_GBK" w:cs="Times New Roman"/>
          <w:sz w:val="28"/>
          <w:highlight w:val="none"/>
        </w:rPr>
        <w:t>连云港</w:t>
      </w:r>
      <w:r>
        <w:rPr>
          <w:rFonts w:hint="eastAsia" w:ascii="Times New Roman" w:hAnsi="Times New Roman" w:eastAsia="方正仿宋_GBK" w:cs="Times New Roman"/>
          <w:sz w:val="28"/>
          <w:highlight w:val="none"/>
          <w:lang w:eastAsia="zh-CN"/>
        </w:rPr>
        <w:t>综保区（徐圩片区）冷链</w:t>
      </w:r>
      <w:r>
        <w:rPr>
          <w:rFonts w:hint="eastAsia" w:ascii="Times New Roman" w:hAnsi="Times New Roman" w:eastAsia="方正仿宋_GBK" w:cs="Times New Roman"/>
          <w:sz w:val="28"/>
          <w:highlight w:val="none"/>
          <w:lang w:val="en-US" w:eastAsia="zh-CN"/>
        </w:rPr>
        <w:t>1-3#查验存储一体库及1#加工配送车间及附属设施设备财产一切险、安全生产责任险、公众责任险，具体投</w:t>
      </w:r>
      <w:r>
        <w:rPr>
          <w:rFonts w:hint="eastAsia" w:ascii="Times New Roman" w:hAnsi="Times New Roman" w:eastAsia="方正仿宋_GBK" w:cs="Times New Roman"/>
          <w:color w:val="000000" w:themeColor="text1"/>
          <w:sz w:val="28"/>
          <w:highlight w:val="none"/>
          <w:lang w:val="en-US" w:eastAsia="zh-CN"/>
          <w14:textFill>
            <w14:solidFill>
              <w14:schemeClr w14:val="tx1"/>
            </w14:solidFill>
          </w14:textFill>
        </w:rPr>
        <w:t>保险种如下：</w:t>
      </w:r>
    </w:p>
    <w:tbl>
      <w:tblPr>
        <w:tblStyle w:val="49"/>
        <w:tblpPr w:leftFromText="180" w:rightFromText="180" w:vertAnchor="text" w:horzAnchor="margin" w:tblpXSpec="center" w:tblpY="254"/>
        <w:tblOverlap w:val="never"/>
        <w:tblW w:w="8968" w:type="dxa"/>
        <w:tblInd w:w="-5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2008"/>
        <w:gridCol w:w="2956"/>
        <w:gridCol w:w="4004"/>
      </w:tblGrid>
      <w:tr w14:paraId="769D8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42" w:hRule="atLeast"/>
        </w:trPr>
        <w:tc>
          <w:tcPr>
            <w:tcW w:w="2008" w:type="dxa"/>
            <w:noWrap w:val="0"/>
            <w:vAlign w:val="center"/>
          </w:tcPr>
          <w:p w14:paraId="5986F968">
            <w:pPr>
              <w:keepNext w:val="0"/>
              <w:keepLines w:val="0"/>
              <w:pageBreakBefore w:val="0"/>
              <w:widowControl w:val="0"/>
              <w:kinsoku/>
              <w:wordWrap/>
              <w:overflowPunct/>
              <w:topLinePunct w:val="0"/>
              <w:autoSpaceDE/>
              <w:autoSpaceDN/>
              <w:bidi w:val="0"/>
              <w:adjustRightInd/>
              <w:snapToGrid/>
              <w:ind w:firstLine="0" w:firstLineChars="0"/>
              <w:jc w:val="center"/>
              <w:textAlignment w:val="center"/>
              <w:rPr>
                <w:rFonts w:ascii="仿宋" w:hAnsi="仿宋" w:eastAsia="仿宋" w:cs="仿宋"/>
                <w:b/>
                <w:bCs/>
                <w:color w:val="000000" w:themeColor="text1"/>
                <w:sz w:val="24"/>
                <w:szCs w:val="20"/>
                <w:highlight w:val="none"/>
                <w14:textFill>
                  <w14:solidFill>
                    <w14:schemeClr w14:val="tx1"/>
                  </w14:solidFill>
                </w14:textFill>
              </w:rPr>
            </w:pPr>
            <w:r>
              <w:rPr>
                <w:rFonts w:hint="eastAsia" w:ascii="仿宋" w:hAnsi="仿宋" w:eastAsia="仿宋" w:cs="仿宋"/>
                <w:b/>
                <w:bCs/>
                <w:color w:val="000000" w:themeColor="text1"/>
                <w:sz w:val="24"/>
                <w:szCs w:val="20"/>
                <w:highlight w:val="none"/>
                <w14:textFill>
                  <w14:solidFill>
                    <w14:schemeClr w14:val="tx1"/>
                  </w14:solidFill>
                </w14:textFill>
              </w:rPr>
              <w:t>险种</w:t>
            </w:r>
          </w:p>
        </w:tc>
        <w:tc>
          <w:tcPr>
            <w:tcW w:w="2956" w:type="dxa"/>
            <w:noWrap w:val="0"/>
            <w:vAlign w:val="center"/>
          </w:tcPr>
          <w:p w14:paraId="531FD477">
            <w:pPr>
              <w:keepNext w:val="0"/>
              <w:keepLines w:val="0"/>
              <w:pageBreakBefore w:val="0"/>
              <w:widowControl w:val="0"/>
              <w:kinsoku/>
              <w:wordWrap/>
              <w:overflowPunct/>
              <w:topLinePunct w:val="0"/>
              <w:autoSpaceDE/>
              <w:autoSpaceDN/>
              <w:bidi w:val="0"/>
              <w:adjustRightInd/>
              <w:snapToGrid/>
              <w:ind w:firstLine="0" w:firstLineChars="0"/>
              <w:jc w:val="center"/>
              <w:textAlignment w:val="center"/>
              <w:rPr>
                <w:rFonts w:ascii="仿宋" w:hAnsi="仿宋" w:eastAsia="仿宋" w:cs="仿宋"/>
                <w:b/>
                <w:bCs/>
                <w:color w:val="000000" w:themeColor="text1"/>
                <w:sz w:val="24"/>
                <w:szCs w:val="20"/>
                <w:highlight w:val="none"/>
                <w14:textFill>
                  <w14:solidFill>
                    <w14:schemeClr w14:val="tx1"/>
                  </w14:solidFill>
                </w14:textFill>
              </w:rPr>
            </w:pPr>
            <w:r>
              <w:rPr>
                <w:rFonts w:hint="eastAsia" w:ascii="仿宋" w:hAnsi="仿宋" w:eastAsia="仿宋" w:cs="仿宋"/>
                <w:b/>
                <w:bCs/>
                <w:color w:val="000000" w:themeColor="text1"/>
                <w:sz w:val="24"/>
                <w:szCs w:val="20"/>
                <w:highlight w:val="none"/>
                <w14:textFill>
                  <w14:solidFill>
                    <w14:schemeClr w14:val="tx1"/>
                  </w14:solidFill>
                </w14:textFill>
              </w:rPr>
              <w:t>保险金额</w:t>
            </w:r>
          </w:p>
        </w:tc>
        <w:tc>
          <w:tcPr>
            <w:tcW w:w="4004" w:type="dxa"/>
            <w:noWrap w:val="0"/>
            <w:vAlign w:val="center"/>
          </w:tcPr>
          <w:p w14:paraId="24C03E56">
            <w:pPr>
              <w:keepNext w:val="0"/>
              <w:keepLines w:val="0"/>
              <w:pageBreakBefore w:val="0"/>
              <w:widowControl w:val="0"/>
              <w:kinsoku/>
              <w:wordWrap/>
              <w:overflowPunct/>
              <w:topLinePunct w:val="0"/>
              <w:autoSpaceDE/>
              <w:autoSpaceDN/>
              <w:bidi w:val="0"/>
              <w:adjustRightInd/>
              <w:snapToGrid/>
              <w:ind w:firstLine="0" w:firstLineChars="0"/>
              <w:jc w:val="center"/>
              <w:textAlignment w:val="center"/>
              <w:rPr>
                <w:rFonts w:ascii="仿宋" w:hAnsi="仿宋" w:eastAsia="仿宋" w:cs="仿宋"/>
                <w:b/>
                <w:bCs/>
                <w:color w:val="000000" w:themeColor="text1"/>
                <w:sz w:val="24"/>
                <w:szCs w:val="20"/>
                <w:highlight w:val="none"/>
                <w14:textFill>
                  <w14:solidFill>
                    <w14:schemeClr w14:val="tx1"/>
                  </w14:solidFill>
                </w14:textFill>
              </w:rPr>
            </w:pPr>
            <w:r>
              <w:rPr>
                <w:rFonts w:hint="eastAsia" w:ascii="仿宋" w:hAnsi="仿宋" w:eastAsia="仿宋" w:cs="仿宋"/>
                <w:b/>
                <w:bCs/>
                <w:color w:val="000000" w:themeColor="text1"/>
                <w:sz w:val="24"/>
                <w:szCs w:val="20"/>
                <w:highlight w:val="none"/>
                <w14:textFill>
                  <w14:solidFill>
                    <w14:schemeClr w14:val="tx1"/>
                  </w14:solidFill>
                </w14:textFill>
              </w:rPr>
              <w:t>免赔额</w:t>
            </w:r>
          </w:p>
        </w:tc>
      </w:tr>
      <w:tr w14:paraId="023EC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394" w:hRule="atLeast"/>
        </w:trPr>
        <w:tc>
          <w:tcPr>
            <w:tcW w:w="2008" w:type="dxa"/>
            <w:noWrap w:val="0"/>
            <w:vAlign w:val="center"/>
          </w:tcPr>
          <w:p w14:paraId="3DF97251">
            <w:pPr>
              <w:keepNext w:val="0"/>
              <w:keepLines w:val="0"/>
              <w:pageBreakBefore w:val="0"/>
              <w:widowControl w:val="0"/>
              <w:kinsoku/>
              <w:wordWrap/>
              <w:overflowPunct/>
              <w:topLinePunct w:val="0"/>
              <w:autoSpaceDE/>
              <w:autoSpaceDN/>
              <w:bidi w:val="0"/>
              <w:adjustRightInd/>
              <w:snapToGrid/>
              <w:spacing w:line="300" w:lineRule="exact"/>
              <w:ind w:firstLine="0" w:firstLineChars="0"/>
              <w:textAlignment w:val="auto"/>
              <w:rPr>
                <w:rFonts w:hint="eastAsia" w:ascii="Times New Roman" w:hAnsi="Times New Roman" w:eastAsia="方正仿宋_GBK" w:cs="Times New Roman"/>
                <w:color w:val="000000" w:themeColor="text1"/>
                <w:sz w:val="24"/>
                <w:szCs w:val="22"/>
                <w:highlight w:val="none"/>
                <w:lang w:eastAsia="zh-CN"/>
                <w14:textFill>
                  <w14:solidFill>
                    <w14:schemeClr w14:val="tx1"/>
                  </w14:solidFill>
                </w14:textFill>
              </w:rPr>
            </w:pPr>
            <w:r>
              <w:rPr>
                <w:rFonts w:hint="eastAsia" w:ascii="Times New Roman" w:hAnsi="Times New Roman" w:eastAsia="方正仿宋_GBK" w:cs="Times New Roman"/>
                <w:color w:val="000000" w:themeColor="text1"/>
                <w:sz w:val="24"/>
                <w:szCs w:val="22"/>
                <w:highlight w:val="none"/>
                <w:lang w:val="en-US" w:eastAsia="zh-CN"/>
                <w14:textFill>
                  <w14:solidFill>
                    <w14:schemeClr w14:val="tx1"/>
                  </w14:solidFill>
                </w14:textFill>
              </w:rPr>
              <w:t>财产一切险（含附属设备设施、代保管财产）</w:t>
            </w:r>
          </w:p>
        </w:tc>
        <w:tc>
          <w:tcPr>
            <w:tcW w:w="2956" w:type="dxa"/>
            <w:noWrap w:val="0"/>
            <w:vAlign w:val="center"/>
          </w:tcPr>
          <w:p w14:paraId="1998FDE5">
            <w:pPr>
              <w:keepNext w:val="0"/>
              <w:keepLines w:val="0"/>
              <w:pageBreakBefore w:val="0"/>
              <w:widowControl w:val="0"/>
              <w:kinsoku/>
              <w:wordWrap/>
              <w:overflowPunct/>
              <w:topLinePunct w:val="0"/>
              <w:autoSpaceDE/>
              <w:autoSpaceDN/>
              <w:bidi w:val="0"/>
              <w:adjustRightInd/>
              <w:snapToGrid/>
              <w:spacing w:line="300" w:lineRule="exact"/>
              <w:ind w:firstLine="0" w:firstLineChars="0"/>
              <w:textAlignment w:val="auto"/>
              <w:rPr>
                <w:rFonts w:ascii="Times New Roman" w:hAnsi="Times New Roman" w:eastAsia="方正仿宋_GBK" w:cs="Times New Roman"/>
                <w:color w:val="000000" w:themeColor="text1"/>
                <w:sz w:val="24"/>
                <w:szCs w:val="22"/>
                <w:highlight w:val="none"/>
                <w14:textFill>
                  <w14:solidFill>
                    <w14:schemeClr w14:val="tx1"/>
                  </w14:solidFill>
                </w14:textFill>
              </w:rPr>
            </w:pPr>
            <w:r>
              <w:rPr>
                <w:rFonts w:hint="eastAsia" w:ascii="Times New Roman" w:hAnsi="Times New Roman" w:eastAsia="方正仿宋_GBK" w:cs="Times New Roman"/>
                <w:color w:val="000000" w:themeColor="text1"/>
                <w:sz w:val="24"/>
                <w:szCs w:val="22"/>
                <w:highlight w:val="none"/>
                <w:lang w:val="en-US" w:eastAsia="zh-CN"/>
                <w14:textFill>
                  <w14:solidFill>
                    <w14:schemeClr w14:val="tx1"/>
                  </w14:solidFill>
                </w14:textFill>
              </w:rPr>
              <w:t>约为45120.62万元（以实际投保时为准）</w:t>
            </w:r>
          </w:p>
        </w:tc>
        <w:tc>
          <w:tcPr>
            <w:tcW w:w="4004" w:type="dxa"/>
            <w:noWrap w:val="0"/>
            <w:vAlign w:val="center"/>
          </w:tcPr>
          <w:p w14:paraId="50B6E51C">
            <w:pPr>
              <w:keepNext w:val="0"/>
              <w:keepLines w:val="0"/>
              <w:pageBreakBefore w:val="0"/>
              <w:widowControl w:val="0"/>
              <w:kinsoku/>
              <w:wordWrap/>
              <w:overflowPunct/>
              <w:topLinePunct w:val="0"/>
              <w:autoSpaceDE/>
              <w:autoSpaceDN/>
              <w:bidi w:val="0"/>
              <w:adjustRightInd/>
              <w:snapToGrid/>
              <w:spacing w:line="300" w:lineRule="exact"/>
              <w:ind w:firstLine="0" w:firstLineChars="0"/>
              <w:textAlignment w:val="auto"/>
              <w:rPr>
                <w:rFonts w:hint="default"/>
                <w:color w:val="000000" w:themeColor="text1"/>
                <w:highlight w:val="none"/>
                <w:lang w:val="en-US" w:eastAsia="zh-CN"/>
                <w14:textFill>
                  <w14:solidFill>
                    <w14:schemeClr w14:val="tx1"/>
                  </w14:solidFill>
                </w14:textFill>
              </w:rPr>
            </w:pPr>
            <w:r>
              <w:rPr>
                <w:rFonts w:hint="eastAsia" w:ascii="Times New Roman" w:hAnsi="Times New Roman" w:eastAsia="方正仿宋_GBK" w:cs="Times New Roman"/>
                <w:color w:val="000000" w:themeColor="text1"/>
                <w:sz w:val="24"/>
                <w:szCs w:val="22"/>
                <w:highlight w:val="none"/>
                <w:lang w:val="en-US" w:eastAsia="zh-CN"/>
                <w14:textFill>
                  <w14:solidFill>
                    <w14:schemeClr w14:val="tx1"/>
                  </w14:solidFill>
                </w14:textFill>
              </w:rPr>
              <w:t>每次事故免赔2000元或损失金额的10%，以高者为准。</w:t>
            </w:r>
          </w:p>
        </w:tc>
      </w:tr>
      <w:tr w14:paraId="0437F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2" w:hRule="atLeast"/>
        </w:trPr>
        <w:tc>
          <w:tcPr>
            <w:tcW w:w="2008" w:type="dxa"/>
            <w:noWrap w:val="0"/>
            <w:vAlign w:val="center"/>
          </w:tcPr>
          <w:p w14:paraId="698D40CF">
            <w:pPr>
              <w:keepNext w:val="0"/>
              <w:keepLines w:val="0"/>
              <w:pageBreakBefore w:val="0"/>
              <w:widowControl w:val="0"/>
              <w:kinsoku/>
              <w:wordWrap/>
              <w:overflowPunct/>
              <w:topLinePunct w:val="0"/>
              <w:autoSpaceDE/>
              <w:autoSpaceDN/>
              <w:bidi w:val="0"/>
              <w:adjustRightInd/>
              <w:snapToGrid/>
              <w:spacing w:line="300" w:lineRule="exact"/>
              <w:ind w:firstLine="0" w:firstLineChars="0"/>
              <w:textAlignment w:val="auto"/>
              <w:rPr>
                <w:rFonts w:hint="default" w:ascii="Times New Roman" w:hAnsi="Times New Roman" w:eastAsia="方正仿宋_GBK" w:cs="Times New Roman"/>
                <w:color w:val="000000" w:themeColor="text1"/>
                <w:sz w:val="24"/>
                <w:szCs w:val="22"/>
                <w:highlight w:val="none"/>
                <w:lang w:val="en-US" w:eastAsia="zh-CN"/>
                <w14:textFill>
                  <w14:solidFill>
                    <w14:schemeClr w14:val="tx1"/>
                  </w14:solidFill>
                </w14:textFill>
              </w:rPr>
            </w:pPr>
            <w:r>
              <w:rPr>
                <w:rFonts w:hint="eastAsia" w:ascii="Times New Roman" w:hAnsi="Times New Roman" w:eastAsia="方正仿宋_GBK" w:cs="Times New Roman"/>
                <w:color w:val="000000" w:themeColor="text1"/>
                <w:sz w:val="24"/>
                <w:szCs w:val="22"/>
                <w:highlight w:val="none"/>
                <w:lang w:val="en-US" w:eastAsia="zh-CN"/>
                <w14:textFill>
                  <w14:solidFill>
                    <w14:schemeClr w14:val="tx1"/>
                  </w14:solidFill>
                </w14:textFill>
              </w:rPr>
              <w:t>安全生产责任险</w:t>
            </w:r>
          </w:p>
        </w:tc>
        <w:tc>
          <w:tcPr>
            <w:tcW w:w="2956" w:type="dxa"/>
            <w:noWrap w:val="0"/>
            <w:vAlign w:val="center"/>
          </w:tcPr>
          <w:p w14:paraId="29A455C2">
            <w:pPr>
              <w:keepNext w:val="0"/>
              <w:keepLines w:val="0"/>
              <w:pageBreakBefore w:val="0"/>
              <w:widowControl w:val="0"/>
              <w:kinsoku/>
              <w:wordWrap/>
              <w:overflowPunct/>
              <w:topLinePunct w:val="0"/>
              <w:autoSpaceDE/>
              <w:autoSpaceDN/>
              <w:bidi w:val="0"/>
              <w:adjustRightInd/>
              <w:snapToGrid/>
              <w:spacing w:line="300" w:lineRule="exact"/>
              <w:ind w:firstLine="0" w:firstLineChars="0"/>
              <w:textAlignment w:val="auto"/>
              <w:rPr>
                <w:rFonts w:hint="eastAsia" w:ascii="Times New Roman" w:hAnsi="Times New Roman" w:eastAsia="方正仿宋_GBK" w:cs="Times New Roman"/>
                <w:color w:val="000000" w:themeColor="text1"/>
                <w:sz w:val="24"/>
                <w:szCs w:val="22"/>
                <w:highlight w:val="none"/>
                <w:lang w:val="en-US" w:eastAsia="zh-CN"/>
                <w14:textFill>
                  <w14:solidFill>
                    <w14:schemeClr w14:val="tx1"/>
                  </w14:solidFill>
                </w14:textFill>
              </w:rPr>
            </w:pPr>
            <w:r>
              <w:rPr>
                <w:rFonts w:hint="eastAsia" w:ascii="Times New Roman" w:hAnsi="Times New Roman" w:eastAsia="方正仿宋_GBK" w:cs="Times New Roman"/>
                <w:color w:val="000000" w:themeColor="text1"/>
                <w:sz w:val="24"/>
                <w:szCs w:val="22"/>
                <w:highlight w:val="none"/>
                <w:lang w:val="en-US" w:eastAsia="zh-CN"/>
                <w14:textFill>
                  <w14:solidFill>
                    <w14:schemeClr w14:val="tx1"/>
                  </w14:solidFill>
                </w14:textFill>
              </w:rPr>
              <w:t>共约20人</w:t>
            </w:r>
          </w:p>
          <w:p w14:paraId="6528526B">
            <w:pPr>
              <w:keepNext w:val="0"/>
              <w:keepLines w:val="0"/>
              <w:pageBreakBefore w:val="0"/>
              <w:widowControl w:val="0"/>
              <w:kinsoku/>
              <w:wordWrap/>
              <w:overflowPunct/>
              <w:topLinePunct w:val="0"/>
              <w:autoSpaceDE/>
              <w:autoSpaceDN/>
              <w:bidi w:val="0"/>
              <w:adjustRightInd/>
              <w:snapToGrid/>
              <w:spacing w:line="300" w:lineRule="exact"/>
              <w:ind w:firstLine="0" w:firstLineChars="0"/>
              <w:textAlignment w:val="auto"/>
              <w:rPr>
                <w:rFonts w:ascii="Times New Roman" w:hAnsi="Times New Roman" w:eastAsia="方正仿宋_GBK" w:cs="Times New Roman"/>
                <w:color w:val="000000" w:themeColor="text1"/>
                <w:sz w:val="24"/>
                <w:szCs w:val="22"/>
                <w:highlight w:val="none"/>
                <w14:textFill>
                  <w14:solidFill>
                    <w14:schemeClr w14:val="tx1"/>
                  </w14:solidFill>
                </w14:textFill>
              </w:rPr>
            </w:pPr>
            <w:r>
              <w:rPr>
                <w:rFonts w:hint="eastAsia" w:ascii="Times New Roman" w:hAnsi="Times New Roman" w:eastAsia="方正仿宋_GBK" w:cs="Times New Roman"/>
                <w:color w:val="000000" w:themeColor="text1"/>
                <w:sz w:val="24"/>
                <w:szCs w:val="22"/>
                <w:highlight w:val="none"/>
                <w:lang w:val="en-US" w:eastAsia="zh-CN"/>
                <w14:textFill>
                  <w14:solidFill>
                    <w14:schemeClr w14:val="tx1"/>
                  </w14:solidFill>
                </w14:textFill>
              </w:rPr>
              <w:t>（以实际投保名单为准）</w:t>
            </w:r>
            <w:r>
              <w:rPr>
                <w:rFonts w:hint="default" w:ascii="Times New Roman" w:hAnsi="Times New Roman" w:eastAsia="方正仿宋_GBK" w:cs="Times New Roman"/>
                <w:color w:val="000000" w:themeColor="text1"/>
                <w:sz w:val="24"/>
                <w:szCs w:val="22"/>
                <w:highlight w:val="none"/>
                <w:lang w:val="en-US" w:eastAsia="zh-CN"/>
                <w14:textFill>
                  <w14:solidFill>
                    <w14:schemeClr w14:val="tx1"/>
                  </w14:solidFill>
                </w14:textFill>
              </w:rPr>
              <w:t>每人每次事故赔偿限额:死亡伤残150万,医疗10万(涵盖劳务派遣人员）</w:t>
            </w:r>
          </w:p>
        </w:tc>
        <w:tc>
          <w:tcPr>
            <w:tcW w:w="4004" w:type="dxa"/>
            <w:noWrap w:val="0"/>
            <w:vAlign w:val="center"/>
          </w:tcPr>
          <w:p w14:paraId="060A4B23">
            <w:pPr>
              <w:keepNext w:val="0"/>
              <w:keepLines w:val="0"/>
              <w:pageBreakBefore w:val="0"/>
              <w:widowControl w:val="0"/>
              <w:kinsoku/>
              <w:wordWrap/>
              <w:overflowPunct/>
              <w:topLinePunct w:val="0"/>
              <w:autoSpaceDE/>
              <w:autoSpaceDN/>
              <w:bidi w:val="0"/>
              <w:adjustRightInd/>
              <w:snapToGrid/>
              <w:spacing w:line="300" w:lineRule="exact"/>
              <w:ind w:firstLine="0" w:firstLineChars="0"/>
              <w:textAlignment w:val="auto"/>
              <w:rPr>
                <w:rFonts w:hint="default" w:ascii="Times New Roman" w:hAnsi="Times New Roman" w:eastAsia="方正仿宋_GBK" w:cs="Times New Roman"/>
                <w:color w:val="000000" w:themeColor="text1"/>
                <w:sz w:val="24"/>
                <w:szCs w:val="22"/>
                <w:highlight w:val="none"/>
                <w:lang w:val="en-US" w:eastAsia="zh-CN"/>
                <w14:textFill>
                  <w14:solidFill>
                    <w14:schemeClr w14:val="tx1"/>
                  </w14:solidFill>
                </w14:textFill>
              </w:rPr>
            </w:pPr>
            <w:r>
              <w:rPr>
                <w:rFonts w:hint="default" w:ascii="Times New Roman" w:hAnsi="Times New Roman" w:eastAsia="方正仿宋_GBK" w:cs="Times New Roman"/>
                <w:color w:val="000000" w:themeColor="text1"/>
                <w:sz w:val="24"/>
                <w:szCs w:val="22"/>
                <w:highlight w:val="none"/>
                <w14:textFill>
                  <w14:solidFill>
                    <w14:schemeClr w14:val="tx1"/>
                  </w14:solidFill>
                </w14:textFill>
              </w:rPr>
              <w:t>医疗费用每次事故免赔200元；每人误工费100元/天，免赔3天，每次事故最高给付60天，全年最高给付180天。</w:t>
            </w:r>
          </w:p>
        </w:tc>
      </w:tr>
      <w:tr w14:paraId="4293E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2" w:hRule="atLeast"/>
        </w:trPr>
        <w:tc>
          <w:tcPr>
            <w:tcW w:w="2008" w:type="dxa"/>
            <w:noWrap w:val="0"/>
            <w:vAlign w:val="center"/>
          </w:tcPr>
          <w:p w14:paraId="52597693">
            <w:pPr>
              <w:keepNext w:val="0"/>
              <w:keepLines w:val="0"/>
              <w:pageBreakBefore w:val="0"/>
              <w:widowControl w:val="0"/>
              <w:kinsoku/>
              <w:wordWrap/>
              <w:overflowPunct/>
              <w:topLinePunct w:val="0"/>
              <w:autoSpaceDE/>
              <w:autoSpaceDN/>
              <w:bidi w:val="0"/>
              <w:adjustRightInd/>
              <w:snapToGrid/>
              <w:spacing w:line="300" w:lineRule="exact"/>
              <w:ind w:firstLine="0" w:firstLineChars="0"/>
              <w:textAlignment w:val="auto"/>
              <w:rPr>
                <w:rFonts w:hint="default" w:ascii="Times New Roman" w:hAnsi="Times New Roman" w:eastAsia="方正仿宋_GBK" w:cs="Times New Roman"/>
                <w:color w:val="000000" w:themeColor="text1"/>
                <w:sz w:val="24"/>
                <w:szCs w:val="22"/>
                <w:highlight w:val="none"/>
                <w:lang w:val="en-US" w:eastAsia="zh-CN"/>
                <w14:textFill>
                  <w14:solidFill>
                    <w14:schemeClr w14:val="tx1"/>
                  </w14:solidFill>
                </w14:textFill>
              </w:rPr>
            </w:pPr>
            <w:r>
              <w:rPr>
                <w:rFonts w:hint="eastAsia" w:ascii="Times New Roman" w:hAnsi="Times New Roman" w:eastAsia="方正仿宋_GBK" w:cs="Times New Roman"/>
                <w:color w:val="000000" w:themeColor="text1"/>
                <w:sz w:val="24"/>
                <w:szCs w:val="22"/>
                <w:highlight w:val="none"/>
                <w:lang w:val="en-US" w:eastAsia="zh-CN"/>
                <w14:textFill>
                  <w14:solidFill>
                    <w14:schemeClr w14:val="tx1"/>
                  </w14:solidFill>
                </w14:textFill>
              </w:rPr>
              <w:t>公众责任险</w:t>
            </w:r>
          </w:p>
        </w:tc>
        <w:tc>
          <w:tcPr>
            <w:tcW w:w="2956" w:type="dxa"/>
            <w:noWrap w:val="0"/>
            <w:vAlign w:val="center"/>
          </w:tcPr>
          <w:p w14:paraId="2F8CC9F2">
            <w:pPr>
              <w:keepNext w:val="0"/>
              <w:keepLines w:val="0"/>
              <w:pageBreakBefore w:val="0"/>
              <w:widowControl w:val="0"/>
              <w:kinsoku/>
              <w:wordWrap/>
              <w:overflowPunct/>
              <w:topLinePunct w:val="0"/>
              <w:autoSpaceDE/>
              <w:autoSpaceDN/>
              <w:bidi w:val="0"/>
              <w:adjustRightInd/>
              <w:snapToGrid/>
              <w:spacing w:line="300" w:lineRule="exact"/>
              <w:ind w:firstLine="0" w:firstLineChars="0"/>
              <w:textAlignment w:val="auto"/>
              <w:rPr>
                <w:rFonts w:hint="default" w:ascii="Times New Roman" w:hAnsi="Times New Roman" w:eastAsia="方正仿宋_GBK" w:cs="Times New Roman"/>
                <w:color w:val="000000" w:themeColor="text1"/>
                <w:sz w:val="24"/>
                <w:szCs w:val="22"/>
                <w:highlight w:val="none"/>
                <w:lang w:val="en-US" w:eastAsia="zh-CN"/>
                <w14:textFill>
                  <w14:solidFill>
                    <w14:schemeClr w14:val="tx1"/>
                  </w14:solidFill>
                </w14:textFill>
              </w:rPr>
            </w:pPr>
            <w:r>
              <w:rPr>
                <w:rFonts w:hint="default" w:ascii="Times New Roman" w:hAnsi="Times New Roman" w:eastAsia="方正仿宋_GBK" w:cs="Times New Roman"/>
                <w:color w:val="000000" w:themeColor="text1"/>
                <w:sz w:val="24"/>
                <w:szCs w:val="22"/>
                <w:highlight w:val="none"/>
                <w:lang w:val="en-US" w:eastAsia="zh-CN"/>
                <w14:textFill>
                  <w14:solidFill>
                    <w14:schemeClr w14:val="tx1"/>
                  </w14:solidFill>
                </w14:textFill>
              </w:rPr>
              <w:t>年累计赔偿限额200万元；</w:t>
            </w:r>
          </w:p>
          <w:p w14:paraId="0147180D">
            <w:pPr>
              <w:keepNext w:val="0"/>
              <w:keepLines w:val="0"/>
              <w:pageBreakBefore w:val="0"/>
              <w:widowControl w:val="0"/>
              <w:kinsoku/>
              <w:wordWrap/>
              <w:overflowPunct/>
              <w:topLinePunct w:val="0"/>
              <w:autoSpaceDE/>
              <w:autoSpaceDN/>
              <w:bidi w:val="0"/>
              <w:adjustRightInd/>
              <w:snapToGrid/>
              <w:spacing w:line="300" w:lineRule="exact"/>
              <w:ind w:firstLine="0" w:firstLineChars="0"/>
              <w:textAlignment w:val="auto"/>
              <w:rPr>
                <w:rFonts w:hint="default" w:ascii="Times New Roman" w:hAnsi="Times New Roman" w:eastAsia="方正仿宋_GBK" w:cs="Times New Roman"/>
                <w:color w:val="000000" w:themeColor="text1"/>
                <w:sz w:val="24"/>
                <w:szCs w:val="22"/>
                <w:highlight w:val="none"/>
                <w:lang w:val="en-US" w:eastAsia="zh-CN"/>
                <w14:textFill>
                  <w14:solidFill>
                    <w14:schemeClr w14:val="tx1"/>
                  </w14:solidFill>
                </w14:textFill>
              </w:rPr>
            </w:pPr>
            <w:r>
              <w:rPr>
                <w:rFonts w:hint="default" w:ascii="Times New Roman" w:hAnsi="Times New Roman" w:eastAsia="方正仿宋_GBK" w:cs="Times New Roman"/>
                <w:color w:val="000000" w:themeColor="text1"/>
                <w:sz w:val="24"/>
                <w:szCs w:val="22"/>
                <w:highlight w:val="none"/>
                <w:lang w:val="en-US" w:eastAsia="zh-CN"/>
                <w14:textFill>
                  <w14:solidFill>
                    <w14:schemeClr w14:val="tx1"/>
                  </w14:solidFill>
                </w14:textFill>
              </w:rPr>
              <w:t>单次事故赔偿限额100万元；</w:t>
            </w:r>
          </w:p>
          <w:p w14:paraId="00AD7074">
            <w:pPr>
              <w:keepNext w:val="0"/>
              <w:keepLines w:val="0"/>
              <w:pageBreakBefore w:val="0"/>
              <w:widowControl w:val="0"/>
              <w:kinsoku/>
              <w:wordWrap/>
              <w:overflowPunct/>
              <w:topLinePunct w:val="0"/>
              <w:autoSpaceDE/>
              <w:autoSpaceDN/>
              <w:bidi w:val="0"/>
              <w:adjustRightInd/>
              <w:snapToGrid/>
              <w:spacing w:line="300" w:lineRule="exact"/>
              <w:ind w:firstLine="0" w:firstLineChars="0"/>
              <w:textAlignment w:val="auto"/>
              <w:rPr>
                <w:rFonts w:hint="eastAsia" w:ascii="Times New Roman" w:hAnsi="Times New Roman" w:eastAsia="方正仿宋_GBK" w:cs="Times New Roman"/>
                <w:color w:val="000000" w:themeColor="text1"/>
                <w:sz w:val="24"/>
                <w:szCs w:val="22"/>
                <w:highlight w:val="none"/>
                <w:lang w:val="en-US" w:eastAsia="zh-CN"/>
                <w14:textFill>
                  <w14:solidFill>
                    <w14:schemeClr w14:val="tx1"/>
                  </w14:solidFill>
                </w14:textFill>
              </w:rPr>
            </w:pPr>
            <w:r>
              <w:rPr>
                <w:rFonts w:hint="default" w:ascii="Times New Roman" w:hAnsi="Times New Roman" w:eastAsia="方正仿宋_GBK" w:cs="Times New Roman"/>
                <w:color w:val="000000" w:themeColor="text1"/>
                <w:sz w:val="24"/>
                <w:szCs w:val="22"/>
                <w:highlight w:val="none"/>
                <w:lang w:val="en-US" w:eastAsia="zh-CN"/>
                <w14:textFill>
                  <w14:solidFill>
                    <w14:schemeClr w14:val="tx1"/>
                  </w14:solidFill>
                </w14:textFill>
              </w:rPr>
              <w:t>每人每次事故赔偿限额10万元</w:t>
            </w:r>
          </w:p>
        </w:tc>
        <w:tc>
          <w:tcPr>
            <w:tcW w:w="4004" w:type="dxa"/>
            <w:noWrap w:val="0"/>
            <w:vAlign w:val="center"/>
          </w:tcPr>
          <w:p w14:paraId="3A7B6C39">
            <w:pPr>
              <w:keepNext w:val="0"/>
              <w:keepLines w:val="0"/>
              <w:pageBreakBefore w:val="0"/>
              <w:widowControl w:val="0"/>
              <w:kinsoku/>
              <w:wordWrap/>
              <w:overflowPunct/>
              <w:topLinePunct w:val="0"/>
              <w:autoSpaceDE/>
              <w:autoSpaceDN/>
              <w:bidi w:val="0"/>
              <w:adjustRightInd/>
              <w:snapToGrid/>
              <w:spacing w:line="300" w:lineRule="exact"/>
              <w:ind w:firstLine="0" w:firstLineChars="0"/>
              <w:textAlignment w:val="auto"/>
              <w:rPr>
                <w:rFonts w:hint="eastAsia"/>
                <w:color w:val="000000" w:themeColor="text1"/>
                <w:highlight w:val="none"/>
                <w:lang w:val="en-US" w:eastAsia="zh-CN"/>
                <w14:textFill>
                  <w14:solidFill>
                    <w14:schemeClr w14:val="tx1"/>
                  </w14:solidFill>
                </w14:textFill>
              </w:rPr>
            </w:pPr>
            <w:r>
              <w:rPr>
                <w:rFonts w:hint="default" w:ascii="Times New Roman" w:hAnsi="Times New Roman" w:eastAsia="方正仿宋_GBK" w:cs="Times New Roman"/>
                <w:color w:val="000000" w:themeColor="text1"/>
                <w:sz w:val="24"/>
                <w:szCs w:val="22"/>
                <w:highlight w:val="none"/>
                <w14:textFill>
                  <w14:solidFill>
                    <w14:schemeClr w14:val="tx1"/>
                  </w14:solidFill>
                </w14:textFill>
              </w:rPr>
              <w:t>财产部分：每次事故免赔额</w:t>
            </w:r>
            <w:r>
              <w:rPr>
                <w:rFonts w:hint="default" w:ascii="Times New Roman" w:hAnsi="Times New Roman" w:eastAsia="方正仿宋_GBK" w:cs="Times New Roman"/>
                <w:color w:val="000000" w:themeColor="text1"/>
                <w:sz w:val="24"/>
                <w:szCs w:val="22"/>
                <w:highlight w:val="none"/>
                <w:lang w:val="en-US" w:eastAsia="zh-CN"/>
                <w14:textFill>
                  <w14:solidFill>
                    <w14:schemeClr w14:val="tx1"/>
                  </w14:solidFill>
                </w14:textFill>
              </w:rPr>
              <w:t>2</w:t>
            </w:r>
            <w:r>
              <w:rPr>
                <w:rFonts w:hint="default" w:ascii="Times New Roman" w:hAnsi="Times New Roman" w:eastAsia="方正仿宋_GBK" w:cs="Times New Roman"/>
                <w:color w:val="000000" w:themeColor="text1"/>
                <w:sz w:val="24"/>
                <w:szCs w:val="22"/>
                <w:highlight w:val="none"/>
                <w14:textFill>
                  <w14:solidFill>
                    <w14:schemeClr w14:val="tx1"/>
                  </w14:solidFill>
                </w14:textFill>
              </w:rPr>
              <w:t>000元或损失金额的10%，以高者为准；人身伤亡无免赔。</w:t>
            </w:r>
          </w:p>
        </w:tc>
      </w:tr>
    </w:tbl>
    <w:p w14:paraId="2B3C89A4">
      <w:pPr>
        <w:pStyle w:val="48"/>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eastAsia" w:ascii="方正黑体_GBK" w:hAnsi="方正黑体_GBK" w:eastAsia="方正黑体_GBK" w:cs="方正黑体_GBK"/>
          <w:color w:val="000000"/>
          <w:sz w:val="28"/>
          <w:szCs w:val="28"/>
          <w:highlight w:val="none"/>
          <w:lang w:val="en-US" w:eastAsia="zh-CN"/>
        </w:rPr>
      </w:pPr>
    </w:p>
    <w:p w14:paraId="35089CD6">
      <w:pPr>
        <w:pStyle w:val="48"/>
        <w:keepNext w:val="0"/>
        <w:keepLines w:val="0"/>
        <w:pageBreakBefore w:val="0"/>
        <w:widowControl w:val="0"/>
        <w:kinsoku/>
        <w:wordWrap/>
        <w:overflowPunct/>
        <w:topLinePunct w:val="0"/>
        <w:autoSpaceDE/>
        <w:autoSpaceDN/>
        <w:bidi w:val="0"/>
        <w:adjustRightInd/>
        <w:snapToGrid/>
        <w:spacing w:before="0" w:line="440" w:lineRule="exact"/>
        <w:textAlignment w:val="auto"/>
        <w:rPr>
          <w:rFonts w:hint="default"/>
          <w:highlight w:val="none"/>
          <w:lang w:val="en-US"/>
        </w:rPr>
      </w:pPr>
      <w:r>
        <w:rPr>
          <w:rFonts w:hint="eastAsia" w:ascii="方正黑体_GBK" w:hAnsi="方正黑体_GBK" w:eastAsia="方正黑体_GBK" w:cs="方正黑体_GBK"/>
          <w:color w:val="000000"/>
          <w:sz w:val="28"/>
          <w:szCs w:val="28"/>
          <w:highlight w:val="none"/>
          <w:lang w:val="en-US" w:eastAsia="zh-CN"/>
        </w:rPr>
        <w:t>四、投保区域范围：</w:t>
      </w:r>
      <w:r>
        <w:rPr>
          <w:rFonts w:hint="eastAsia" w:eastAsia="方正仿宋_GBK" w:cs="Times New Roman"/>
          <w:b/>
          <w:bCs/>
          <w:kern w:val="2"/>
          <w:sz w:val="28"/>
          <w:szCs w:val="24"/>
          <w:highlight w:val="none"/>
          <w:lang w:val="en-US" w:eastAsia="zh-CN" w:bidi="ar-SA"/>
        </w:rPr>
        <w:t>连云港综合保税区（徐圩片区）冷链项目</w:t>
      </w:r>
    </w:p>
    <w:p w14:paraId="14AE01F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黑体_GBK" w:hAnsi="方正黑体_GBK" w:eastAsia="方正黑体_GBK" w:cs="方正黑体_GBK"/>
          <w:color w:val="000000"/>
          <w:sz w:val="28"/>
          <w:szCs w:val="28"/>
          <w:highlight w:val="none"/>
        </w:rPr>
      </w:pPr>
      <w:r>
        <w:rPr>
          <w:rFonts w:hint="eastAsia" w:ascii="方正黑体_GBK" w:hAnsi="方正黑体_GBK" w:eastAsia="方正黑体_GBK" w:cs="方正黑体_GBK"/>
          <w:color w:val="000000"/>
          <w:sz w:val="28"/>
          <w:szCs w:val="28"/>
          <w:highlight w:val="none"/>
          <w:lang w:val="en-US" w:eastAsia="zh-CN"/>
        </w:rPr>
        <w:t>五、</w:t>
      </w:r>
      <w:r>
        <w:rPr>
          <w:rFonts w:hint="eastAsia" w:ascii="方正黑体_GBK" w:hAnsi="方正黑体_GBK" w:eastAsia="方正黑体_GBK" w:cs="方正黑体_GBK"/>
          <w:color w:val="000000"/>
          <w:sz w:val="28"/>
          <w:szCs w:val="28"/>
          <w:highlight w:val="none"/>
        </w:rPr>
        <w:t>保险内容要求</w:t>
      </w:r>
    </w:p>
    <w:p w14:paraId="645E6ECE">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textAlignment w:val="auto"/>
        <w:rPr>
          <w:rFonts w:hint="eastAsia" w:ascii="方正仿宋_GBK" w:hAnsi="方正仿宋_GBK" w:eastAsia="方正仿宋_GBK" w:cs="方正仿宋_GBK"/>
          <w:b/>
          <w:color w:val="000000"/>
          <w:sz w:val="28"/>
          <w:szCs w:val="28"/>
          <w:highlight w:val="none"/>
        </w:rPr>
      </w:pPr>
      <w:r>
        <w:rPr>
          <w:rFonts w:hint="eastAsia" w:ascii="方正仿宋_GBK" w:hAnsi="方正仿宋_GBK" w:eastAsia="方正仿宋_GBK" w:cs="方正仿宋_GBK"/>
          <w:b/>
          <w:color w:val="000000"/>
          <w:sz w:val="28"/>
          <w:szCs w:val="28"/>
          <w:highlight w:val="none"/>
        </w:rPr>
        <w:t>第一部分 财产一切险</w:t>
      </w:r>
    </w:p>
    <w:p w14:paraId="6432CB0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方正仿宋_GBK" w:cs="Times New Roman"/>
          <w:sz w:val="28"/>
          <w:highlight w:val="none"/>
        </w:rPr>
      </w:pPr>
      <w:r>
        <w:rPr>
          <w:rFonts w:hint="eastAsia" w:ascii="Times New Roman" w:hAnsi="Times New Roman" w:eastAsia="方正仿宋_GBK" w:cs="Times New Roman"/>
          <w:sz w:val="28"/>
          <w:highlight w:val="none"/>
        </w:rPr>
        <w:t>保险标的</w:t>
      </w:r>
      <w:r>
        <w:rPr>
          <w:rFonts w:hint="eastAsia" w:ascii="Times New Roman" w:hAnsi="Times New Roman" w:eastAsia="方正仿宋_GBK" w:cs="Times New Roman"/>
          <w:sz w:val="28"/>
          <w:highlight w:val="none"/>
          <w:lang w:val="en-US" w:eastAsia="zh-CN"/>
        </w:rPr>
        <w:t>包括</w:t>
      </w:r>
      <w:r>
        <w:rPr>
          <w:rFonts w:hint="eastAsia" w:eastAsia="方正仿宋_GBK" w:cs="Times New Roman"/>
          <w:sz w:val="28"/>
          <w:highlight w:val="none"/>
          <w:lang w:val="en-US" w:eastAsia="zh-CN"/>
        </w:rPr>
        <w:t>连云港综合保税区（徐圩片区）冷</w:t>
      </w:r>
      <w:r>
        <w:rPr>
          <w:rFonts w:hint="eastAsia" w:ascii="Times New Roman" w:hAnsi="Times New Roman" w:eastAsia="方正仿宋_GBK" w:cs="Times New Roman"/>
          <w:sz w:val="28"/>
          <w:highlight w:val="none"/>
          <w:lang w:val="en-US" w:eastAsia="zh-CN"/>
        </w:rPr>
        <w:t>链1-3#查验存储一体库和1#加工配送车间及附属设施建筑物、机械设备</w:t>
      </w:r>
      <w:r>
        <w:rPr>
          <w:rFonts w:hint="eastAsia" w:eastAsia="方正仿宋_GBK" w:cs="Times New Roman"/>
          <w:sz w:val="28"/>
          <w:highlight w:val="none"/>
          <w:lang w:val="en-US" w:eastAsia="zh-CN"/>
        </w:rPr>
        <w:t>及</w:t>
      </w:r>
      <w:r>
        <w:rPr>
          <w:rFonts w:hint="eastAsia" w:ascii="Times New Roman" w:hAnsi="Times New Roman" w:eastAsia="方正仿宋_GBK" w:cs="Times New Roman"/>
          <w:sz w:val="28"/>
          <w:highlight w:val="none"/>
          <w:lang w:val="en-US" w:eastAsia="zh-CN"/>
        </w:rPr>
        <w:t>代保管货物等</w:t>
      </w:r>
      <w:r>
        <w:rPr>
          <w:rFonts w:hint="eastAsia" w:ascii="Times New Roman" w:hAnsi="Times New Roman" w:eastAsia="方正仿宋_GBK" w:cs="Times New Roman"/>
          <w:sz w:val="28"/>
          <w:highlight w:val="none"/>
        </w:rPr>
        <w:t>（</w:t>
      </w:r>
      <w:r>
        <w:rPr>
          <w:rFonts w:hint="eastAsia" w:ascii="Times New Roman" w:hAnsi="Times New Roman" w:eastAsia="方正仿宋_GBK" w:cs="Times New Roman"/>
          <w:sz w:val="28"/>
          <w:highlight w:val="none"/>
          <w:lang w:val="en-US" w:eastAsia="zh-CN"/>
        </w:rPr>
        <w:t>详见</w:t>
      </w:r>
      <w:r>
        <w:rPr>
          <w:rFonts w:hint="eastAsia" w:ascii="Times New Roman" w:hAnsi="Times New Roman" w:eastAsia="方正仿宋_GBK" w:cs="Times New Roman"/>
          <w:sz w:val="28"/>
          <w:highlight w:val="none"/>
        </w:rPr>
        <w:t>“连云港徐圩</w:t>
      </w:r>
      <w:r>
        <w:rPr>
          <w:rFonts w:hint="eastAsia" w:eastAsia="方正仿宋_GBK" w:cs="Times New Roman"/>
          <w:sz w:val="28"/>
          <w:highlight w:val="none"/>
          <w:lang w:eastAsia="zh-CN"/>
        </w:rPr>
        <w:t>冷链保税服务</w:t>
      </w:r>
      <w:r>
        <w:rPr>
          <w:rFonts w:hint="eastAsia" w:ascii="Times New Roman" w:hAnsi="Times New Roman" w:eastAsia="方正仿宋_GBK" w:cs="Times New Roman"/>
          <w:sz w:val="28"/>
          <w:highlight w:val="none"/>
        </w:rPr>
        <w:t>有限公司</w:t>
      </w:r>
      <w:r>
        <w:rPr>
          <w:rFonts w:hint="eastAsia" w:ascii="Times New Roman" w:hAnsi="Times New Roman" w:eastAsia="方正仿宋_GBK" w:cs="Times New Roman"/>
          <w:sz w:val="28"/>
          <w:highlight w:val="none"/>
          <w:lang w:val="en-US" w:eastAsia="zh-CN"/>
        </w:rPr>
        <w:t>投保财产一切险</w:t>
      </w:r>
      <w:r>
        <w:rPr>
          <w:rFonts w:hint="eastAsia" w:ascii="Times New Roman" w:hAnsi="Times New Roman" w:eastAsia="方正仿宋_GBK" w:cs="Times New Roman"/>
          <w:sz w:val="28"/>
          <w:highlight w:val="none"/>
        </w:rPr>
        <w:t>资产明细”）</w:t>
      </w:r>
    </w:p>
    <w:p w14:paraId="7EF49079">
      <w:pPr>
        <w:bidi w:val="0"/>
        <w:spacing w:line="440" w:lineRule="exact"/>
        <w:ind w:firstLine="560" w:firstLineChars="200"/>
        <w:rPr>
          <w:rFonts w:hint="eastAsia" w:ascii="Times New Roman" w:hAnsi="Times New Roman" w:eastAsia="方正仿宋_GBK" w:cs="Times New Roman"/>
          <w:b/>
          <w:bCs/>
          <w:sz w:val="28"/>
          <w:highlight w:val="none"/>
          <w:lang w:eastAsia="zh-CN"/>
        </w:rPr>
      </w:pPr>
      <w:r>
        <w:rPr>
          <w:rFonts w:hint="eastAsia" w:ascii="Times New Roman" w:hAnsi="Times New Roman" w:eastAsia="方正仿宋_GBK" w:cs="Times New Roman"/>
          <w:b/>
          <w:bCs/>
          <w:sz w:val="28"/>
          <w:highlight w:val="none"/>
          <w:lang w:eastAsia="zh-CN"/>
        </w:rPr>
        <w:t>【</w:t>
      </w:r>
      <w:r>
        <w:rPr>
          <w:rFonts w:hint="eastAsia" w:ascii="Times New Roman" w:hAnsi="Times New Roman" w:eastAsia="方正仿宋_GBK" w:cs="Times New Roman"/>
          <w:b/>
          <w:bCs/>
          <w:sz w:val="28"/>
          <w:highlight w:val="none"/>
        </w:rPr>
        <w:t>保险责任</w:t>
      </w:r>
      <w:r>
        <w:rPr>
          <w:rFonts w:hint="eastAsia" w:ascii="Times New Roman" w:hAnsi="Times New Roman" w:eastAsia="方正仿宋_GBK" w:cs="Times New Roman"/>
          <w:b/>
          <w:bCs/>
          <w:sz w:val="28"/>
          <w:highlight w:val="none"/>
          <w:lang w:eastAsia="zh-CN"/>
        </w:rPr>
        <w:t>】</w:t>
      </w:r>
    </w:p>
    <w:p w14:paraId="253C29C7">
      <w:pPr>
        <w:bidi w:val="0"/>
        <w:spacing w:line="440" w:lineRule="exact"/>
        <w:ind w:firstLine="560" w:firstLineChars="200"/>
        <w:rPr>
          <w:rFonts w:hint="eastAsia" w:ascii="Times New Roman" w:hAnsi="Times New Roman" w:eastAsia="方正仿宋_GBK" w:cs="Times New Roman"/>
          <w:b w:val="0"/>
          <w:bCs w:val="0"/>
          <w:sz w:val="28"/>
          <w:highlight w:val="none"/>
        </w:rPr>
      </w:pPr>
      <w:r>
        <w:rPr>
          <w:rFonts w:hint="eastAsia" w:ascii="Times New Roman" w:hAnsi="Times New Roman" w:eastAsia="方正仿宋_GBK" w:cs="Times New Roman"/>
          <w:b/>
          <w:bCs/>
          <w:sz w:val="28"/>
          <w:highlight w:val="none"/>
        </w:rPr>
        <w:t>第</w:t>
      </w:r>
      <w:r>
        <w:rPr>
          <w:rFonts w:hint="eastAsia" w:ascii="Times New Roman" w:hAnsi="Times New Roman" w:eastAsia="方正仿宋_GBK" w:cs="Times New Roman"/>
          <w:b/>
          <w:bCs/>
          <w:sz w:val="28"/>
          <w:highlight w:val="none"/>
          <w:lang w:val="en-US" w:eastAsia="zh-CN"/>
        </w:rPr>
        <w:t>一</w:t>
      </w:r>
      <w:r>
        <w:rPr>
          <w:rFonts w:hint="eastAsia" w:ascii="Times New Roman" w:hAnsi="Times New Roman" w:eastAsia="方正仿宋_GBK" w:cs="Times New Roman"/>
          <w:b/>
          <w:bCs/>
          <w:sz w:val="28"/>
          <w:highlight w:val="none"/>
        </w:rPr>
        <w:t>条</w:t>
      </w:r>
      <w:r>
        <w:rPr>
          <w:rFonts w:hint="eastAsia" w:ascii="Times New Roman" w:hAnsi="Times New Roman" w:eastAsia="方正仿宋_GBK" w:cs="Times New Roman"/>
          <w:b w:val="0"/>
          <w:bCs w:val="0"/>
          <w:sz w:val="28"/>
          <w:highlight w:val="none"/>
        </w:rPr>
        <w:t xml:space="preserve">  在保险期间内，由于自然灾害或意外事故造成保险标的</w:t>
      </w:r>
      <w:r>
        <w:rPr>
          <w:rFonts w:hint="eastAsia" w:ascii="Times New Roman" w:hAnsi="Times New Roman" w:eastAsia="方正仿宋_GBK" w:cs="Times New Roman"/>
          <w:sz w:val="28"/>
          <w:highlight w:val="none"/>
          <w:lang w:val="en-US" w:eastAsia="zh-CN"/>
        </w:rPr>
        <w:t>(包括</w:t>
      </w:r>
      <w:r>
        <w:rPr>
          <w:rFonts w:hint="eastAsia" w:eastAsia="方正仿宋_GBK" w:cs="Times New Roman"/>
          <w:sz w:val="28"/>
          <w:highlight w:val="none"/>
          <w:lang w:val="en-US" w:eastAsia="zh-CN"/>
        </w:rPr>
        <w:t>被保险人</w:t>
      </w:r>
      <w:r>
        <w:rPr>
          <w:rFonts w:hint="eastAsia" w:ascii="Times New Roman" w:hAnsi="Times New Roman" w:eastAsia="方正仿宋_GBK" w:cs="Times New Roman"/>
          <w:sz w:val="28"/>
          <w:highlight w:val="none"/>
          <w:lang w:val="en-US" w:eastAsia="zh-CN"/>
        </w:rPr>
        <w:t>自有、租赁、保管）</w:t>
      </w:r>
      <w:r>
        <w:rPr>
          <w:rFonts w:hint="eastAsia" w:ascii="Times New Roman" w:hAnsi="Times New Roman" w:eastAsia="方正仿宋_GBK" w:cs="Times New Roman"/>
          <w:b w:val="0"/>
          <w:bCs w:val="0"/>
          <w:sz w:val="28"/>
          <w:highlight w:val="none"/>
        </w:rPr>
        <w:t>直接物质损坏或灭失，保险人按照本保险合同的约定负责赔偿。</w:t>
      </w:r>
    </w:p>
    <w:p w14:paraId="6A843B16">
      <w:pPr>
        <w:bidi w:val="0"/>
        <w:spacing w:line="440" w:lineRule="exact"/>
        <w:ind w:firstLine="560" w:firstLineChars="200"/>
        <w:rPr>
          <w:rFonts w:hint="eastAsia" w:ascii="Times New Roman" w:hAnsi="Times New Roman" w:eastAsia="方正仿宋_GBK" w:cs="Times New Roman"/>
          <w:b w:val="0"/>
          <w:bCs w:val="0"/>
          <w:sz w:val="28"/>
          <w:highlight w:val="none"/>
        </w:rPr>
      </w:pPr>
      <w:r>
        <w:rPr>
          <w:rFonts w:hint="eastAsia" w:ascii="Times New Roman" w:hAnsi="Times New Roman" w:eastAsia="方正仿宋_GBK" w:cs="Times New Roman"/>
          <w:b w:val="0"/>
          <w:bCs w:val="0"/>
          <w:sz w:val="28"/>
          <w:highlight w:val="none"/>
        </w:rPr>
        <w:t>前款原因造成的保险事故发生时，为抢救保险标的或防止灾害蔓延，采取必要的、合理的措施而造成保险标的的损失，保险人按照本保险合同的约定也负责赔偿。</w:t>
      </w:r>
    </w:p>
    <w:p w14:paraId="34C5CB97">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方正仿宋_GBK" w:cs="Times New Roman"/>
          <w:b w:val="0"/>
          <w:bCs w:val="0"/>
          <w:sz w:val="28"/>
          <w:highlight w:val="none"/>
        </w:rPr>
      </w:pPr>
      <w:r>
        <w:rPr>
          <w:rFonts w:hint="eastAsia" w:ascii="Times New Roman" w:hAnsi="Times New Roman" w:eastAsia="方正仿宋_GBK" w:cs="Times New Roman"/>
          <w:b/>
          <w:bCs/>
          <w:kern w:val="2"/>
          <w:sz w:val="28"/>
          <w:szCs w:val="24"/>
          <w:highlight w:val="none"/>
          <w:lang w:val="en-US" w:eastAsia="zh-CN" w:bidi="ar-SA"/>
        </w:rPr>
        <w:t>第二条</w:t>
      </w:r>
      <w:r>
        <w:rPr>
          <w:rFonts w:hint="eastAsia" w:ascii="Times New Roman" w:hAnsi="Times New Roman" w:eastAsia="方正仿宋_GBK" w:cs="Times New Roman"/>
          <w:b w:val="0"/>
          <w:bCs w:val="0"/>
          <w:kern w:val="2"/>
          <w:sz w:val="28"/>
          <w:szCs w:val="24"/>
          <w:highlight w:val="none"/>
          <w:lang w:val="en-US" w:eastAsia="zh-CN" w:bidi="ar-SA"/>
        </w:rPr>
        <w:t xml:space="preserve"> </w:t>
      </w:r>
      <w:r>
        <w:rPr>
          <w:rFonts w:hint="eastAsia" w:ascii="Times New Roman" w:hAnsi="Times New Roman" w:eastAsia="方正仿宋_GBK" w:cs="Times New Roman"/>
          <w:b w:val="0"/>
          <w:bCs w:val="0"/>
          <w:sz w:val="28"/>
          <w:highlight w:val="none"/>
        </w:rPr>
        <w:t xml:space="preserve"> 保险事故发生后，被保险人为防止或减少保险标的的损失所支付的必要的、合理的费用，保险人按照本保险合同的约定也负责赔偿。</w:t>
      </w:r>
    </w:p>
    <w:p w14:paraId="30C99E41">
      <w:pPr>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textAlignment w:val="auto"/>
        <w:rPr>
          <w:rFonts w:hint="eastAsia" w:ascii="方正仿宋_GBK" w:hAnsi="方正仿宋_GBK" w:eastAsia="方正仿宋_GBK" w:cs="方正仿宋_GBK"/>
          <w:b/>
          <w:bCs/>
          <w:color w:val="000000"/>
          <w:sz w:val="28"/>
          <w:szCs w:val="28"/>
          <w:highlight w:val="none"/>
          <w:lang w:eastAsia="zh-CN"/>
        </w:rPr>
      </w:pPr>
      <w:r>
        <w:rPr>
          <w:rFonts w:hint="eastAsia" w:ascii="方正仿宋_GBK" w:hAnsi="方正仿宋_GBK" w:eastAsia="方正仿宋_GBK" w:cs="方正仿宋_GBK"/>
          <w:b/>
          <w:bCs/>
          <w:color w:val="000000"/>
          <w:sz w:val="28"/>
          <w:szCs w:val="28"/>
          <w:highlight w:val="none"/>
          <w:lang w:val="en-US" w:eastAsia="zh-CN"/>
        </w:rPr>
        <w:t>【附加险条款及</w:t>
      </w:r>
      <w:r>
        <w:rPr>
          <w:rFonts w:hint="eastAsia" w:ascii="方正仿宋_GBK" w:hAnsi="方正仿宋_GBK" w:eastAsia="方正仿宋_GBK" w:cs="方正仿宋_GBK"/>
          <w:b/>
          <w:bCs/>
          <w:color w:val="000000"/>
          <w:sz w:val="28"/>
          <w:szCs w:val="28"/>
          <w:highlight w:val="none"/>
        </w:rPr>
        <w:t>特别约定</w:t>
      </w:r>
      <w:r>
        <w:rPr>
          <w:rFonts w:hint="eastAsia" w:ascii="方正仿宋_GBK" w:hAnsi="方正仿宋_GBK" w:eastAsia="方正仿宋_GBK" w:cs="方正仿宋_GBK"/>
          <w:b/>
          <w:bCs/>
          <w:color w:val="000000"/>
          <w:sz w:val="28"/>
          <w:szCs w:val="28"/>
          <w:highlight w:val="none"/>
          <w:lang w:eastAsia="zh-CN"/>
        </w:rPr>
        <w:t>】</w:t>
      </w:r>
    </w:p>
    <w:p w14:paraId="3127CB03">
      <w:pPr>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textAlignment w:val="auto"/>
        <w:rPr>
          <w:rFonts w:hint="default" w:ascii="方正仿宋_GBK" w:hAnsi="方正仿宋_GBK" w:eastAsia="方正仿宋_GBK" w:cs="方正仿宋_GBK"/>
          <w:b/>
          <w:bCs/>
          <w:color w:val="000000" w:themeColor="text1"/>
          <w:sz w:val="28"/>
          <w:szCs w:val="28"/>
          <w:highlight w:val="none"/>
          <w:lang w:val="en-US" w:eastAsia="zh-CN"/>
          <w14:textFill>
            <w14:solidFill>
              <w14:schemeClr w14:val="tx1"/>
            </w14:solidFill>
          </w14:textFill>
        </w:rPr>
      </w:pPr>
      <w:r>
        <w:rPr>
          <w:rFonts w:hint="default" w:ascii="Times New Roman" w:hAnsi="Times New Roman" w:eastAsia="方正仿宋_GBK" w:cs="Times New Roman"/>
          <w:color w:val="000000" w:themeColor="text1"/>
          <w:kern w:val="2"/>
          <w:sz w:val="28"/>
          <w:szCs w:val="28"/>
          <w:highlight w:val="none"/>
          <w:lang w:val="en-US" w:eastAsia="zh-CN" w:bidi="ar-SA"/>
          <w14:textFill>
            <w14:solidFill>
              <w14:schemeClr w14:val="tx1"/>
            </w14:solidFill>
          </w14:textFill>
        </w:rPr>
        <w:t>(</w:t>
      </w:r>
      <w:r>
        <w:rPr>
          <w:rFonts w:hint="eastAsia" w:ascii="Times New Roman" w:hAnsi="Times New Roman" w:eastAsia="方正仿宋_GBK" w:cs="Times New Roman"/>
          <w:color w:val="000000" w:themeColor="text1"/>
          <w:kern w:val="2"/>
          <w:sz w:val="28"/>
          <w:szCs w:val="28"/>
          <w:highlight w:val="none"/>
          <w:lang w:val="en-US" w:eastAsia="zh-CN" w:bidi="ar-SA"/>
          <w14:textFill>
            <w14:solidFill>
              <w14:schemeClr w14:val="tx1"/>
            </w14:solidFill>
          </w14:textFill>
        </w:rPr>
        <w:t>1</w:t>
      </w:r>
      <w:r>
        <w:rPr>
          <w:rFonts w:hint="default" w:ascii="Times New Roman" w:hAnsi="Times New Roman" w:eastAsia="方正仿宋_GBK" w:cs="Times New Roman"/>
          <w:color w:val="000000" w:themeColor="text1"/>
          <w:kern w:val="2"/>
          <w:sz w:val="28"/>
          <w:szCs w:val="28"/>
          <w:highlight w:val="none"/>
          <w:lang w:val="en-US" w:eastAsia="zh-CN" w:bidi="ar-SA"/>
          <w14:textFill>
            <w14:solidFill>
              <w14:schemeClr w14:val="tx1"/>
            </w14:solidFill>
          </w14:textFill>
        </w:rPr>
        <w:t>)</w:t>
      </w:r>
      <w:r>
        <w:rPr>
          <w:rFonts w:hint="eastAsia" w:ascii="Times New Roman" w:hAnsi="Times New Roman" w:eastAsia="方正仿宋_GBK" w:cs="Times New Roman"/>
          <w:color w:val="000000" w:themeColor="text1"/>
          <w:sz w:val="28"/>
          <w:highlight w:val="none"/>
          <w:lang w:val="en-US" w:eastAsia="zh-CN"/>
          <w14:textFill>
            <w14:solidFill>
              <w14:schemeClr w14:val="tx1"/>
            </w14:solidFill>
          </w14:textFill>
        </w:rPr>
        <w:t>本保单特别约定投保</w:t>
      </w:r>
      <w:r>
        <w:rPr>
          <w:rFonts w:hint="eastAsia" w:eastAsia="方正仿宋_GBK" w:cs="Times New Roman"/>
          <w:color w:val="000000" w:themeColor="text1"/>
          <w:sz w:val="28"/>
          <w:highlight w:val="none"/>
          <w:lang w:val="en-US" w:eastAsia="zh-CN"/>
          <w14:textFill>
            <w14:solidFill>
              <w14:schemeClr w14:val="tx1"/>
            </w14:solidFill>
          </w14:textFill>
        </w:rPr>
        <w:t>冷链</w:t>
      </w:r>
      <w:r>
        <w:rPr>
          <w:rFonts w:hint="eastAsia" w:ascii="Times New Roman" w:hAnsi="Times New Roman" w:eastAsia="方正仿宋_GBK" w:cs="Times New Roman"/>
          <w:color w:val="000000" w:themeColor="text1"/>
          <w:sz w:val="28"/>
          <w:highlight w:val="none"/>
          <w:lang w:val="en-US" w:eastAsia="zh-CN"/>
          <w14:textFill>
            <w14:solidFill>
              <w14:schemeClr w14:val="tx1"/>
            </w14:solidFill>
          </w14:textFill>
        </w:rPr>
        <w:t>。</w:t>
      </w:r>
    </w:p>
    <w:p w14:paraId="517E9AC1">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560" w:firstLineChars="200"/>
        <w:textAlignment w:val="auto"/>
        <w:rPr>
          <w:rFonts w:hint="eastAsia" w:ascii="Times New Roman" w:hAnsi="Times New Roman" w:eastAsia="方正仿宋_GBK" w:cs="Times New Roman"/>
          <w:color w:val="0000FF"/>
          <w:sz w:val="28"/>
          <w:highlight w:val="none"/>
          <w:lang w:eastAsia="zh-CN"/>
        </w:rPr>
      </w:pPr>
      <w:r>
        <w:rPr>
          <w:rFonts w:hint="default" w:ascii="Times New Roman" w:hAnsi="Times New Roman" w:eastAsia="方正仿宋_GBK" w:cs="Times New Roman"/>
          <w:color w:val="0000FF"/>
          <w:kern w:val="2"/>
          <w:sz w:val="28"/>
          <w:szCs w:val="28"/>
          <w:highlight w:val="none"/>
          <w:lang w:val="en-US" w:eastAsia="zh-CN" w:bidi="ar-SA"/>
        </w:rPr>
        <w:t>(</w:t>
      </w:r>
      <w:r>
        <w:rPr>
          <w:rFonts w:hint="eastAsia" w:ascii="Times New Roman" w:hAnsi="Times New Roman" w:eastAsia="方正仿宋_GBK" w:cs="Times New Roman"/>
          <w:color w:val="0000FF"/>
          <w:kern w:val="2"/>
          <w:sz w:val="28"/>
          <w:szCs w:val="28"/>
          <w:highlight w:val="none"/>
          <w:lang w:val="en-US" w:eastAsia="zh-CN" w:bidi="ar-SA"/>
        </w:rPr>
        <w:t>2</w:t>
      </w:r>
      <w:r>
        <w:rPr>
          <w:rFonts w:hint="default" w:ascii="Times New Roman" w:hAnsi="Times New Roman" w:eastAsia="方正仿宋_GBK" w:cs="Times New Roman"/>
          <w:color w:val="0000FF"/>
          <w:kern w:val="2"/>
          <w:sz w:val="28"/>
          <w:szCs w:val="28"/>
          <w:highlight w:val="none"/>
          <w:lang w:val="en-US" w:eastAsia="zh-CN" w:bidi="ar-SA"/>
        </w:rPr>
        <w:t>)</w:t>
      </w:r>
      <w:r>
        <w:rPr>
          <w:rFonts w:hint="eastAsia" w:ascii="Times New Roman" w:hAnsi="Times New Roman" w:eastAsia="方正仿宋_GBK" w:cs="Times New Roman"/>
          <w:color w:val="0000FF"/>
          <w:sz w:val="28"/>
          <w:highlight w:val="none"/>
          <w:lang w:val="en-US" w:eastAsia="zh-CN"/>
        </w:rPr>
        <w:t>各</w:t>
      </w:r>
      <w:r>
        <w:rPr>
          <w:rFonts w:hint="eastAsia" w:ascii="Times New Roman" w:hAnsi="Times New Roman" w:eastAsia="方正仿宋_GBK" w:cs="Times New Roman"/>
          <w:color w:val="0000FF"/>
          <w:sz w:val="28"/>
          <w:highlight w:val="none"/>
        </w:rPr>
        <w:t>项固定资产的保险金额按照投保时的账面原值确定，</w:t>
      </w:r>
      <w:r>
        <w:rPr>
          <w:rFonts w:hint="eastAsia" w:eastAsia="方正仿宋_GBK" w:cs="Times New Roman"/>
          <w:color w:val="0000FF"/>
          <w:sz w:val="28"/>
          <w:highlight w:val="none"/>
          <w:lang w:val="en-US" w:eastAsia="zh-CN"/>
        </w:rPr>
        <w:t>保险人</w:t>
      </w:r>
      <w:r>
        <w:rPr>
          <w:rFonts w:hint="eastAsia" w:ascii="Times New Roman" w:hAnsi="Times New Roman" w:eastAsia="方正仿宋_GBK" w:cs="Times New Roman"/>
          <w:color w:val="0000FF"/>
          <w:sz w:val="28"/>
          <w:highlight w:val="none"/>
        </w:rPr>
        <w:t>视为按照重置价值足额投保，出险后不进行比例赔偿。存货类资产按照出险时的账面余额确定</w:t>
      </w:r>
      <w:r>
        <w:rPr>
          <w:rFonts w:hint="eastAsia" w:ascii="Times New Roman" w:hAnsi="Times New Roman" w:eastAsia="方正仿宋_GBK" w:cs="Times New Roman"/>
          <w:color w:val="0000FF"/>
          <w:sz w:val="28"/>
          <w:highlight w:val="none"/>
          <w:lang w:eastAsia="zh-CN"/>
        </w:rPr>
        <w:t>。</w:t>
      </w:r>
    </w:p>
    <w:p w14:paraId="2EC042C5">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textAlignment w:val="auto"/>
        <w:rPr>
          <w:rFonts w:hint="eastAsia"/>
          <w:color w:val="0000FF"/>
          <w:highlight w:val="none"/>
        </w:rPr>
      </w:pPr>
      <w:r>
        <w:rPr>
          <w:rFonts w:hint="default"/>
          <w:color w:val="0000FF"/>
          <w:kern w:val="2"/>
          <w:sz w:val="28"/>
          <w:szCs w:val="28"/>
          <w:highlight w:val="none"/>
          <w:lang w:val="en-US" w:eastAsia="zh-CN" w:bidi="ar-SA"/>
        </w:rPr>
        <w:t>(</w:t>
      </w:r>
      <w:r>
        <w:rPr>
          <w:rFonts w:hint="eastAsia"/>
          <w:color w:val="0000FF"/>
          <w:kern w:val="2"/>
          <w:sz w:val="28"/>
          <w:szCs w:val="28"/>
          <w:highlight w:val="none"/>
          <w:lang w:val="en-US" w:eastAsia="zh-CN" w:bidi="ar-SA"/>
        </w:rPr>
        <w:t>3</w:t>
      </w:r>
      <w:r>
        <w:rPr>
          <w:rFonts w:hint="default"/>
          <w:color w:val="0000FF"/>
          <w:kern w:val="2"/>
          <w:sz w:val="28"/>
          <w:szCs w:val="28"/>
          <w:highlight w:val="none"/>
          <w:lang w:val="en-US" w:eastAsia="zh-CN" w:bidi="ar-SA"/>
        </w:rPr>
        <w:t>)</w:t>
      </w:r>
      <w:r>
        <w:rPr>
          <w:rFonts w:hint="eastAsia" w:ascii="Times New Roman" w:hAnsi="Times New Roman" w:eastAsia="方正仿宋_GBK" w:cs="Times New Roman"/>
          <w:color w:val="0000FF"/>
          <w:sz w:val="28"/>
          <w:highlight w:val="none"/>
        </w:rPr>
        <w:t>代保管财产-货物按照投保前一年度12个月的月平均储量乘以市场价作为保险金额进行投保，</w:t>
      </w:r>
      <w:r>
        <w:rPr>
          <w:rFonts w:hint="eastAsia" w:eastAsia="方正仿宋_GBK" w:cs="Times New Roman"/>
          <w:color w:val="0000FF"/>
          <w:sz w:val="28"/>
          <w:highlight w:val="none"/>
          <w:lang w:eastAsia="zh-CN"/>
        </w:rPr>
        <w:t>保险人</w:t>
      </w:r>
      <w:r>
        <w:rPr>
          <w:rFonts w:hint="eastAsia" w:ascii="Times New Roman" w:hAnsi="Times New Roman" w:eastAsia="方正仿宋_GBK" w:cs="Times New Roman"/>
          <w:color w:val="0000FF"/>
          <w:sz w:val="28"/>
          <w:highlight w:val="none"/>
        </w:rPr>
        <w:t>同意视为足额投保，出险时按市场价值赔偿，本保险年度结束时，按保险期限内12个月的月平均储量乘以市场价进行保费调整，采用多退少补的方式。若与保险金额的差额在10%以内，不再进行保费调整。</w:t>
      </w:r>
    </w:p>
    <w:p w14:paraId="50C20EDB">
      <w:pPr>
        <w:keepNext w:val="0"/>
        <w:keepLines w:val="0"/>
        <w:pageBreakBefore w:val="0"/>
        <w:numPr>
          <w:ilvl w:val="0"/>
          <w:numId w:val="0"/>
        </w:numPr>
        <w:kinsoku/>
        <w:wordWrap/>
        <w:overflowPunct/>
        <w:topLinePunct w:val="0"/>
        <w:autoSpaceDE/>
        <w:autoSpaceDN/>
        <w:bidi w:val="0"/>
        <w:adjustRightInd/>
        <w:snapToGrid/>
        <w:spacing w:line="440" w:lineRule="exact"/>
        <w:ind w:firstLine="560" w:firstLineChars="200"/>
        <w:textAlignment w:val="auto"/>
        <w:rPr>
          <w:rFonts w:hint="eastAsia"/>
          <w:color w:val="0000FF"/>
          <w:highlight w:val="none"/>
        </w:rPr>
      </w:pPr>
      <w:r>
        <w:rPr>
          <w:rFonts w:hint="default"/>
          <w:color w:val="0000FF"/>
          <w:kern w:val="2"/>
          <w:sz w:val="28"/>
          <w:szCs w:val="28"/>
          <w:highlight w:val="none"/>
          <w:lang w:val="en-US" w:eastAsia="zh-CN" w:bidi="ar-SA"/>
        </w:rPr>
        <w:t>(</w:t>
      </w:r>
      <w:r>
        <w:rPr>
          <w:rFonts w:hint="eastAsia"/>
          <w:color w:val="0000FF"/>
          <w:kern w:val="2"/>
          <w:sz w:val="28"/>
          <w:szCs w:val="28"/>
          <w:highlight w:val="none"/>
          <w:lang w:val="en-US" w:eastAsia="zh-CN" w:bidi="ar-SA"/>
        </w:rPr>
        <w:t>4</w:t>
      </w:r>
      <w:r>
        <w:rPr>
          <w:rFonts w:hint="default"/>
          <w:color w:val="0000FF"/>
          <w:kern w:val="2"/>
          <w:sz w:val="28"/>
          <w:szCs w:val="28"/>
          <w:highlight w:val="none"/>
          <w:lang w:val="en-US" w:eastAsia="zh-CN" w:bidi="ar-SA"/>
        </w:rPr>
        <w:t>)</w:t>
      </w:r>
      <w:r>
        <w:rPr>
          <w:rFonts w:hint="eastAsia" w:ascii="Times New Roman" w:hAnsi="Times New Roman" w:eastAsia="方正仿宋_GBK" w:cs="Times New Roman"/>
          <w:color w:val="0000FF"/>
          <w:sz w:val="28"/>
          <w:highlight w:val="none"/>
          <w:lang w:val="en-US" w:eastAsia="zh-CN"/>
        </w:rPr>
        <w:t>在保险期间内，保险人对因保险标的的内在或潜在缺陷、自然磨损、自然损耗，大气（气候或气温）变化、正常水位变化或其他渐变原因，以及因物质本身变化、霉烂、受潮、鼠咬、虫蛀、鸟啄、氧化、锈蚀、渗漏、烘焙的原因而导致保险标的损失后引致其他保险标的的损失承担赔偿责任。</w:t>
      </w:r>
    </w:p>
    <w:p w14:paraId="50A1097B">
      <w:pPr>
        <w:keepNext w:val="0"/>
        <w:keepLines w:val="0"/>
        <w:pageBreakBefore w:val="0"/>
        <w:numPr>
          <w:ilvl w:val="0"/>
          <w:numId w:val="0"/>
        </w:numPr>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方正仿宋_GBK" w:cs="Times New Roman"/>
          <w:color w:val="0000FF"/>
          <w:sz w:val="28"/>
          <w:highlight w:val="none"/>
        </w:rPr>
      </w:pPr>
      <w:r>
        <w:rPr>
          <w:rFonts w:hint="default"/>
          <w:color w:val="0000FF"/>
          <w:kern w:val="2"/>
          <w:sz w:val="28"/>
          <w:szCs w:val="28"/>
          <w:highlight w:val="none"/>
          <w:lang w:val="en-US" w:eastAsia="zh-CN" w:bidi="ar-SA"/>
        </w:rPr>
        <w:t>(</w:t>
      </w:r>
      <w:r>
        <w:rPr>
          <w:rFonts w:hint="eastAsia"/>
          <w:color w:val="0000FF"/>
          <w:kern w:val="2"/>
          <w:sz w:val="28"/>
          <w:szCs w:val="28"/>
          <w:highlight w:val="none"/>
          <w:lang w:val="en-US" w:eastAsia="zh-CN" w:bidi="ar-SA"/>
        </w:rPr>
        <w:t>5</w:t>
      </w:r>
      <w:r>
        <w:rPr>
          <w:rFonts w:hint="default"/>
          <w:color w:val="0000FF"/>
          <w:kern w:val="2"/>
          <w:sz w:val="28"/>
          <w:szCs w:val="28"/>
          <w:highlight w:val="none"/>
          <w:lang w:val="en-US" w:eastAsia="zh-CN" w:bidi="ar-SA"/>
        </w:rPr>
        <w:t>)</w:t>
      </w:r>
      <w:r>
        <w:rPr>
          <w:rFonts w:hint="eastAsia" w:ascii="Times New Roman" w:hAnsi="Times New Roman" w:eastAsia="方正仿宋_GBK" w:cs="Times New Roman"/>
          <w:color w:val="0000FF"/>
          <w:sz w:val="28"/>
          <w:highlight w:val="none"/>
          <w:lang w:val="en-US" w:eastAsia="zh-CN"/>
        </w:rPr>
        <w:t>被保险人</w:t>
      </w:r>
      <w:r>
        <w:rPr>
          <w:rFonts w:hint="eastAsia" w:eastAsia="方正仿宋_GBK" w:cs="Times New Roman"/>
          <w:color w:val="0000FF"/>
          <w:sz w:val="28"/>
          <w:highlight w:val="none"/>
          <w:lang w:val="en-US" w:eastAsia="zh-CN"/>
        </w:rPr>
        <w:t>冷链制冷设备、货架</w:t>
      </w:r>
      <w:r>
        <w:rPr>
          <w:rFonts w:hint="eastAsia" w:ascii="Times New Roman" w:hAnsi="Times New Roman" w:eastAsia="方正仿宋_GBK" w:cs="Times New Roman"/>
          <w:color w:val="0000FF"/>
          <w:sz w:val="28"/>
          <w:highlight w:val="none"/>
          <w:lang w:val="en-US" w:eastAsia="zh-CN"/>
        </w:rPr>
        <w:t>等</w:t>
      </w:r>
      <w:r>
        <w:rPr>
          <w:rFonts w:hint="eastAsia" w:ascii="Times New Roman" w:hAnsi="Times New Roman" w:eastAsia="方正仿宋_GBK" w:cs="Times New Roman"/>
          <w:color w:val="0000FF"/>
          <w:sz w:val="28"/>
          <w:highlight w:val="none"/>
        </w:rPr>
        <w:t>因</w:t>
      </w:r>
      <w:r>
        <w:rPr>
          <w:rFonts w:hint="eastAsia" w:ascii="Times New Roman" w:hAnsi="Times New Roman" w:eastAsia="方正仿宋_GBK" w:cs="Times New Roman"/>
          <w:color w:val="0000FF"/>
          <w:sz w:val="28"/>
          <w:highlight w:val="none"/>
          <w:lang w:val="en-US" w:eastAsia="zh-CN"/>
        </w:rPr>
        <w:t>保险</w:t>
      </w:r>
      <w:r>
        <w:rPr>
          <w:rFonts w:hint="eastAsia" w:ascii="Times New Roman" w:hAnsi="Times New Roman" w:eastAsia="方正仿宋_GBK" w:cs="Times New Roman"/>
          <w:color w:val="0000FF"/>
          <w:sz w:val="28"/>
          <w:highlight w:val="none"/>
        </w:rPr>
        <w:t>风险造成的损失及相关费用</w:t>
      </w:r>
      <w:r>
        <w:rPr>
          <w:rFonts w:hint="eastAsia" w:ascii="Times New Roman" w:hAnsi="Times New Roman" w:eastAsia="方正仿宋_GBK" w:cs="Times New Roman"/>
          <w:color w:val="0000FF"/>
          <w:sz w:val="28"/>
          <w:highlight w:val="none"/>
          <w:lang w:eastAsia="zh-CN"/>
        </w:rPr>
        <w:t>，</w:t>
      </w:r>
      <w:r>
        <w:rPr>
          <w:rFonts w:hint="eastAsia" w:ascii="Times New Roman" w:hAnsi="Times New Roman" w:eastAsia="方正仿宋_GBK" w:cs="Times New Roman"/>
          <w:color w:val="0000FF"/>
          <w:sz w:val="28"/>
          <w:highlight w:val="none"/>
          <w:lang w:val="en-US" w:eastAsia="zh-CN"/>
        </w:rPr>
        <w:t>保险人负责赔偿</w:t>
      </w:r>
      <w:r>
        <w:rPr>
          <w:rFonts w:hint="eastAsia" w:ascii="Times New Roman" w:hAnsi="Times New Roman" w:eastAsia="方正仿宋_GBK" w:cs="Times New Roman"/>
          <w:color w:val="0000FF"/>
          <w:sz w:val="28"/>
          <w:highlight w:val="none"/>
        </w:rPr>
        <w:t>。</w:t>
      </w:r>
    </w:p>
    <w:p w14:paraId="31D5A355">
      <w:pPr>
        <w:keepNext w:val="0"/>
        <w:keepLines w:val="0"/>
        <w:pageBreakBefore w:val="0"/>
        <w:widowControl/>
        <w:numPr>
          <w:ilvl w:val="0"/>
          <w:numId w:val="0"/>
        </w:numPr>
        <w:kinsoku/>
        <w:wordWrap/>
        <w:overflowPunct/>
        <w:topLinePunct w:val="0"/>
        <w:autoSpaceDE/>
        <w:autoSpaceDN/>
        <w:bidi w:val="0"/>
        <w:adjustRightInd/>
        <w:snapToGrid/>
        <w:spacing w:line="440" w:lineRule="exact"/>
        <w:ind w:leftChars="0" w:firstLine="560" w:firstLineChars="200"/>
        <w:textAlignment w:val="auto"/>
        <w:rPr>
          <w:rFonts w:hint="eastAsia"/>
          <w:color w:val="0000FF"/>
          <w:highlight w:val="none"/>
        </w:rPr>
      </w:pPr>
      <w:r>
        <w:rPr>
          <w:rFonts w:hint="default" w:ascii="Times New Roman" w:hAnsi="Times New Roman" w:eastAsia="方正仿宋_GBK" w:cs="Times New Roman"/>
          <w:color w:val="0000FF"/>
          <w:kern w:val="2"/>
          <w:sz w:val="28"/>
          <w:szCs w:val="28"/>
          <w:highlight w:val="none"/>
          <w:lang w:val="en-US" w:eastAsia="zh-CN" w:bidi="ar-SA"/>
        </w:rPr>
        <w:t>(</w:t>
      </w:r>
      <w:r>
        <w:rPr>
          <w:rFonts w:hint="eastAsia" w:ascii="Times New Roman" w:hAnsi="Times New Roman" w:eastAsia="方正仿宋_GBK" w:cs="Times New Roman"/>
          <w:color w:val="0000FF"/>
          <w:kern w:val="2"/>
          <w:sz w:val="28"/>
          <w:szCs w:val="28"/>
          <w:highlight w:val="none"/>
          <w:lang w:val="en-US" w:eastAsia="zh-CN" w:bidi="ar-SA"/>
        </w:rPr>
        <w:t>6</w:t>
      </w:r>
      <w:r>
        <w:rPr>
          <w:rFonts w:hint="default" w:ascii="Times New Roman" w:hAnsi="Times New Roman" w:eastAsia="方正仿宋_GBK" w:cs="Times New Roman"/>
          <w:color w:val="0000FF"/>
          <w:kern w:val="2"/>
          <w:sz w:val="28"/>
          <w:szCs w:val="28"/>
          <w:highlight w:val="none"/>
          <w:lang w:val="en-US" w:eastAsia="zh-CN" w:bidi="ar-SA"/>
        </w:rPr>
        <w:t>)</w:t>
      </w:r>
      <w:r>
        <w:rPr>
          <w:rFonts w:hint="eastAsia" w:ascii="Times New Roman" w:hAnsi="Times New Roman" w:eastAsia="方正仿宋_GBK" w:cs="Times New Roman"/>
          <w:color w:val="0000FF"/>
          <w:sz w:val="28"/>
          <w:highlight w:val="none"/>
        </w:rPr>
        <w:t>本保单扩展承保由于六级及以上阵风造成的被保险财产损失及相关费用。</w:t>
      </w:r>
    </w:p>
    <w:p w14:paraId="029EEF1B">
      <w:pPr>
        <w:keepNext w:val="0"/>
        <w:keepLines w:val="0"/>
        <w:pageBreakBefore w:val="0"/>
        <w:numPr>
          <w:ilvl w:val="0"/>
          <w:numId w:val="0"/>
        </w:numPr>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方正仿宋_GBK" w:cs="Times New Roman"/>
          <w:color w:val="0000FF"/>
          <w:sz w:val="28"/>
          <w:highlight w:val="none"/>
        </w:rPr>
      </w:pPr>
      <w:r>
        <w:rPr>
          <w:rFonts w:hint="default" w:ascii="Times New Roman" w:hAnsi="Times New Roman" w:eastAsia="方正仿宋_GBK" w:cs="Times New Roman"/>
          <w:color w:val="0000FF"/>
          <w:kern w:val="2"/>
          <w:sz w:val="28"/>
          <w:szCs w:val="28"/>
          <w:highlight w:val="none"/>
          <w:lang w:val="en-US" w:eastAsia="zh-CN" w:bidi="ar-SA"/>
        </w:rPr>
        <w:t>(</w:t>
      </w:r>
      <w:r>
        <w:rPr>
          <w:rFonts w:hint="eastAsia" w:ascii="Times New Roman" w:hAnsi="Times New Roman" w:eastAsia="方正仿宋_GBK" w:cs="Times New Roman"/>
          <w:color w:val="0000FF"/>
          <w:kern w:val="2"/>
          <w:sz w:val="28"/>
          <w:szCs w:val="28"/>
          <w:highlight w:val="none"/>
          <w:lang w:val="en-US" w:eastAsia="zh-CN" w:bidi="ar-SA"/>
        </w:rPr>
        <w:t>7</w:t>
      </w:r>
      <w:r>
        <w:rPr>
          <w:rFonts w:hint="default" w:ascii="Times New Roman" w:hAnsi="Times New Roman" w:eastAsia="方正仿宋_GBK" w:cs="Times New Roman"/>
          <w:color w:val="0000FF"/>
          <w:kern w:val="2"/>
          <w:sz w:val="28"/>
          <w:szCs w:val="28"/>
          <w:highlight w:val="none"/>
          <w:lang w:val="en-US" w:eastAsia="zh-CN" w:bidi="ar-SA"/>
        </w:rPr>
        <w:t>)</w:t>
      </w:r>
      <w:r>
        <w:rPr>
          <w:rFonts w:hint="eastAsia" w:ascii="Times New Roman" w:hAnsi="Times New Roman" w:eastAsia="方正仿宋_GBK" w:cs="Times New Roman"/>
          <w:color w:val="0000FF"/>
          <w:sz w:val="28"/>
          <w:highlight w:val="none"/>
          <w:lang w:val="en-US" w:eastAsia="zh-CN"/>
        </w:rPr>
        <w:t>在被保险人投保区域范围内因物体自燃造成</w:t>
      </w:r>
      <w:r>
        <w:rPr>
          <w:rFonts w:hint="eastAsia" w:ascii="Times New Roman" w:hAnsi="Times New Roman" w:eastAsia="方正仿宋_GBK" w:cs="Times New Roman"/>
          <w:color w:val="0000FF"/>
          <w:sz w:val="28"/>
          <w:highlight w:val="none"/>
        </w:rPr>
        <w:t>保险</w:t>
      </w:r>
      <w:r>
        <w:rPr>
          <w:rFonts w:hint="eastAsia" w:ascii="Times New Roman" w:hAnsi="Times New Roman" w:eastAsia="方正仿宋_GBK" w:cs="Times New Roman"/>
          <w:color w:val="0000FF"/>
          <w:sz w:val="28"/>
          <w:highlight w:val="none"/>
          <w:lang w:val="en-US" w:eastAsia="zh-CN"/>
        </w:rPr>
        <w:t>标的</w:t>
      </w:r>
      <w:r>
        <w:rPr>
          <w:rFonts w:hint="eastAsia" w:ascii="Times New Roman" w:hAnsi="Times New Roman" w:eastAsia="方正仿宋_GBK" w:cs="Times New Roman"/>
          <w:color w:val="0000FF"/>
          <w:sz w:val="28"/>
          <w:highlight w:val="none"/>
        </w:rPr>
        <w:t>的损失</w:t>
      </w:r>
      <w:r>
        <w:rPr>
          <w:rFonts w:hint="eastAsia" w:ascii="Times New Roman" w:hAnsi="Times New Roman" w:eastAsia="方正仿宋_GBK" w:cs="Times New Roman"/>
          <w:color w:val="0000FF"/>
          <w:sz w:val="28"/>
          <w:highlight w:val="none"/>
          <w:lang w:eastAsia="zh-CN"/>
        </w:rPr>
        <w:t>，</w:t>
      </w:r>
      <w:r>
        <w:rPr>
          <w:rFonts w:hint="eastAsia" w:ascii="Times New Roman" w:hAnsi="Times New Roman" w:eastAsia="方正仿宋_GBK" w:cs="Times New Roman"/>
          <w:color w:val="0000FF"/>
          <w:sz w:val="28"/>
          <w:highlight w:val="none"/>
          <w:lang w:val="en-US" w:eastAsia="zh-CN"/>
        </w:rPr>
        <w:t>保险人负责赔偿</w:t>
      </w:r>
      <w:r>
        <w:rPr>
          <w:rFonts w:hint="eastAsia" w:ascii="Times New Roman" w:hAnsi="Times New Roman" w:eastAsia="方正仿宋_GBK" w:cs="Times New Roman"/>
          <w:color w:val="0000FF"/>
          <w:sz w:val="28"/>
          <w:highlight w:val="none"/>
        </w:rPr>
        <w:t>。</w:t>
      </w:r>
    </w:p>
    <w:p w14:paraId="390AC955">
      <w:pPr>
        <w:keepNext w:val="0"/>
        <w:keepLines w:val="0"/>
        <w:pageBreakBefore w:val="0"/>
        <w:numPr>
          <w:ilvl w:val="0"/>
          <w:numId w:val="0"/>
        </w:numPr>
        <w:kinsoku/>
        <w:wordWrap/>
        <w:overflowPunct/>
        <w:topLinePunct w:val="0"/>
        <w:autoSpaceDE/>
        <w:autoSpaceDN/>
        <w:bidi w:val="0"/>
        <w:adjustRightInd/>
        <w:snapToGrid/>
        <w:spacing w:line="440" w:lineRule="exact"/>
        <w:ind w:firstLine="560" w:firstLineChars="200"/>
        <w:textAlignment w:val="auto"/>
        <w:rPr>
          <w:rFonts w:hint="eastAsia"/>
          <w:color w:val="0000FF"/>
          <w:highlight w:val="none"/>
          <w:lang w:val="en-US" w:eastAsia="zh-CN"/>
        </w:rPr>
      </w:pPr>
      <w:r>
        <w:rPr>
          <w:rFonts w:hint="default"/>
          <w:color w:val="0000FF"/>
          <w:kern w:val="2"/>
          <w:sz w:val="28"/>
          <w:szCs w:val="28"/>
          <w:highlight w:val="none"/>
          <w:lang w:val="en-US" w:eastAsia="zh-CN" w:bidi="ar-SA"/>
        </w:rPr>
        <w:t>(</w:t>
      </w:r>
      <w:r>
        <w:rPr>
          <w:rFonts w:hint="eastAsia"/>
          <w:color w:val="0000FF"/>
          <w:kern w:val="2"/>
          <w:sz w:val="28"/>
          <w:szCs w:val="28"/>
          <w:highlight w:val="none"/>
          <w:lang w:val="en-US" w:eastAsia="zh-CN" w:bidi="ar-SA"/>
        </w:rPr>
        <w:t>8</w:t>
      </w:r>
      <w:r>
        <w:rPr>
          <w:rFonts w:hint="default"/>
          <w:color w:val="0000FF"/>
          <w:kern w:val="2"/>
          <w:sz w:val="28"/>
          <w:szCs w:val="28"/>
          <w:highlight w:val="none"/>
          <w:lang w:val="en-US" w:eastAsia="zh-CN" w:bidi="ar-SA"/>
        </w:rPr>
        <w:t>)</w:t>
      </w:r>
      <w:r>
        <w:rPr>
          <w:rFonts w:hint="eastAsia" w:ascii="Times New Roman" w:hAnsi="Times New Roman" w:eastAsia="方正仿宋_GBK" w:cs="Times New Roman"/>
          <w:color w:val="0000FF"/>
          <w:sz w:val="28"/>
          <w:highlight w:val="none"/>
        </w:rPr>
        <w:t>本保险扩展承保存放在被</w:t>
      </w:r>
      <w:r>
        <w:rPr>
          <w:rFonts w:hint="eastAsia" w:eastAsia="方正仿宋_GBK" w:cs="Times New Roman"/>
          <w:color w:val="0000FF"/>
          <w:sz w:val="28"/>
          <w:highlight w:val="none"/>
          <w:lang w:eastAsia="zh-CN"/>
        </w:rPr>
        <w:t>保险人</w:t>
      </w:r>
      <w:r>
        <w:rPr>
          <w:rFonts w:hint="eastAsia" w:ascii="Times New Roman" w:hAnsi="Times New Roman" w:eastAsia="方正仿宋_GBK" w:cs="Times New Roman"/>
          <w:color w:val="0000FF"/>
          <w:sz w:val="28"/>
          <w:highlight w:val="none"/>
        </w:rPr>
        <w:t>财产座落地址内的</w:t>
      </w:r>
      <w:r>
        <w:rPr>
          <w:rFonts w:hint="eastAsia" w:eastAsia="方正仿宋_GBK" w:cs="Times New Roman"/>
          <w:color w:val="0000FF"/>
          <w:sz w:val="28"/>
          <w:highlight w:val="none"/>
          <w:lang w:eastAsia="zh-CN"/>
        </w:rPr>
        <w:t>冷链货物</w:t>
      </w:r>
      <w:r>
        <w:rPr>
          <w:rFonts w:hint="eastAsia" w:ascii="Times New Roman" w:hAnsi="Times New Roman" w:eastAsia="方正仿宋_GBK" w:cs="Times New Roman"/>
          <w:color w:val="0000FF"/>
          <w:sz w:val="28"/>
          <w:highlight w:val="none"/>
          <w:lang w:val="en-US" w:eastAsia="zh-CN"/>
        </w:rPr>
        <w:t>及其他代保管货物</w:t>
      </w:r>
      <w:r>
        <w:rPr>
          <w:rFonts w:hint="eastAsia" w:ascii="Times New Roman" w:hAnsi="Times New Roman" w:eastAsia="方正仿宋_GBK" w:cs="Times New Roman"/>
          <w:color w:val="0000FF"/>
          <w:sz w:val="28"/>
          <w:highlight w:val="none"/>
        </w:rPr>
        <w:t>等因自燃</w:t>
      </w:r>
      <w:r>
        <w:rPr>
          <w:rFonts w:hint="eastAsia" w:ascii="Times New Roman" w:hAnsi="Times New Roman" w:eastAsia="方正仿宋_GBK" w:cs="Times New Roman"/>
          <w:color w:val="0000FF"/>
          <w:sz w:val="28"/>
          <w:highlight w:val="none"/>
          <w:lang w:val="en-US" w:eastAsia="zh-CN"/>
        </w:rPr>
        <w:t>引发火灾、爆炸等事故，造成保险标的损失，</w:t>
      </w:r>
      <w:r>
        <w:rPr>
          <w:rFonts w:hint="eastAsia" w:eastAsia="方正仿宋_GBK" w:cs="Times New Roman"/>
          <w:color w:val="0000FF"/>
          <w:sz w:val="28"/>
          <w:highlight w:val="none"/>
          <w:lang w:val="en-US" w:eastAsia="zh-CN"/>
        </w:rPr>
        <w:t>保险人</w:t>
      </w:r>
      <w:r>
        <w:rPr>
          <w:rFonts w:hint="eastAsia" w:ascii="Times New Roman" w:hAnsi="Times New Roman" w:eastAsia="方正仿宋_GBK" w:cs="Times New Roman"/>
          <w:color w:val="0000FF"/>
          <w:sz w:val="28"/>
          <w:highlight w:val="none"/>
          <w:lang w:val="en-US" w:eastAsia="zh-CN"/>
        </w:rPr>
        <w:t>负责赔偿</w:t>
      </w:r>
      <w:r>
        <w:rPr>
          <w:rFonts w:hint="eastAsia" w:ascii="Times New Roman" w:hAnsi="Times New Roman" w:eastAsia="方正仿宋_GBK" w:cs="Times New Roman"/>
          <w:color w:val="0000FF"/>
          <w:sz w:val="28"/>
          <w:highlight w:val="none"/>
        </w:rPr>
        <w:t>。</w:t>
      </w:r>
    </w:p>
    <w:p w14:paraId="2922A49B">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560" w:firstLineChars="200"/>
        <w:textAlignment w:val="auto"/>
        <w:rPr>
          <w:rFonts w:hint="eastAsia" w:ascii="Times New Roman" w:hAnsi="Times New Roman" w:eastAsia="方正仿宋_GBK" w:cs="Times New Roman"/>
          <w:sz w:val="28"/>
          <w:highlight w:val="none"/>
        </w:rPr>
      </w:pPr>
      <w:r>
        <w:rPr>
          <w:rFonts w:hint="default" w:ascii="Times New Roman" w:hAnsi="Times New Roman" w:eastAsia="方正仿宋_GBK" w:cs="Times New Roman"/>
          <w:kern w:val="2"/>
          <w:sz w:val="28"/>
          <w:szCs w:val="28"/>
          <w:highlight w:val="none"/>
          <w:lang w:val="zh-TW" w:eastAsia="zh-TW" w:bidi="ar-SA"/>
        </w:rPr>
        <w:t>(</w:t>
      </w:r>
      <w:r>
        <w:rPr>
          <w:rFonts w:hint="eastAsia" w:ascii="Times New Roman" w:hAnsi="Times New Roman" w:eastAsia="方正仿宋_GBK" w:cs="Times New Roman"/>
          <w:kern w:val="2"/>
          <w:sz w:val="28"/>
          <w:szCs w:val="28"/>
          <w:highlight w:val="none"/>
          <w:lang w:val="en-US" w:eastAsia="zh-CN" w:bidi="ar-SA"/>
        </w:rPr>
        <w:t>9</w:t>
      </w:r>
      <w:r>
        <w:rPr>
          <w:rFonts w:hint="default" w:ascii="Times New Roman" w:hAnsi="Times New Roman" w:eastAsia="方正仿宋_GBK" w:cs="Times New Roman"/>
          <w:kern w:val="2"/>
          <w:sz w:val="28"/>
          <w:szCs w:val="28"/>
          <w:highlight w:val="none"/>
          <w:lang w:val="zh-TW" w:eastAsia="zh-TW" w:bidi="ar-SA"/>
        </w:rPr>
        <w:t>)</w:t>
      </w:r>
      <w:r>
        <w:rPr>
          <w:rFonts w:hint="eastAsia" w:ascii="Times New Roman" w:hAnsi="Times New Roman" w:eastAsia="方正仿宋_GBK" w:cs="Times New Roman"/>
          <w:sz w:val="28"/>
          <w:highlight w:val="none"/>
        </w:rPr>
        <w:t>在保险期间内，由于烈度达到或超过保险标的所在地抗震设防标准的地震或由此引起的海啸、火灾、爆炸造成保险标的的损失，保险人负责赔偿。但由于建筑物未达到国家建筑质量要求（包括抗震设防标准）造成保险标的的损失，保险人不负责赔偿。保险标的因连续72小时内遭受一次或多次地震（余震）所致损失视为一次事故。</w:t>
      </w:r>
    </w:p>
    <w:p w14:paraId="13A6D2A8">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560" w:firstLineChars="200"/>
        <w:textAlignment w:val="auto"/>
        <w:rPr>
          <w:rFonts w:hint="eastAsia" w:ascii="Times New Roman" w:hAnsi="Times New Roman" w:eastAsia="方正仿宋_GBK" w:cs="Times New Roman"/>
          <w:sz w:val="28"/>
          <w:highlight w:val="none"/>
          <w:lang w:val="zh-TW" w:eastAsia="zh-TW"/>
        </w:rPr>
      </w:pPr>
      <w:r>
        <w:rPr>
          <w:rFonts w:hint="default" w:ascii="Times New Roman" w:hAnsi="Times New Roman" w:eastAsia="方正仿宋_GBK" w:cs="Times New Roman"/>
          <w:kern w:val="2"/>
          <w:sz w:val="28"/>
          <w:szCs w:val="28"/>
          <w:highlight w:val="none"/>
          <w:lang w:val="en-US" w:eastAsia="zh-CN" w:bidi="ar-SA"/>
        </w:rPr>
        <w:t>(</w:t>
      </w:r>
      <w:r>
        <w:rPr>
          <w:rFonts w:hint="eastAsia" w:ascii="Times New Roman" w:hAnsi="Times New Roman" w:eastAsia="方正仿宋_GBK" w:cs="Times New Roman"/>
          <w:kern w:val="2"/>
          <w:sz w:val="28"/>
          <w:szCs w:val="28"/>
          <w:highlight w:val="none"/>
          <w:lang w:val="en-US" w:eastAsia="zh-CN" w:bidi="ar-SA"/>
        </w:rPr>
        <w:t>10</w:t>
      </w:r>
      <w:r>
        <w:rPr>
          <w:rFonts w:hint="default" w:ascii="Times New Roman" w:hAnsi="Times New Roman" w:eastAsia="方正仿宋_GBK" w:cs="Times New Roman"/>
          <w:kern w:val="2"/>
          <w:sz w:val="28"/>
          <w:szCs w:val="28"/>
          <w:highlight w:val="none"/>
          <w:lang w:val="en-US" w:eastAsia="zh-CN" w:bidi="ar-SA"/>
        </w:rPr>
        <w:t>)</w:t>
      </w:r>
      <w:r>
        <w:rPr>
          <w:rFonts w:hint="eastAsia" w:ascii="Times New Roman" w:hAnsi="Times New Roman" w:eastAsia="方正仿宋_GBK" w:cs="Times New Roman"/>
          <w:sz w:val="28"/>
          <w:highlight w:val="none"/>
          <w:lang w:val="en-US" w:eastAsia="zh-CN"/>
        </w:rPr>
        <w:t>由于第三者恶意破坏行为造成保险标的的损失，保险人负责赔偿。对作为建筑物组成部分的玻璃破碎损失，以及盗窃、抢劫导致的损失，保险人不负责赔偿。</w:t>
      </w:r>
    </w:p>
    <w:p w14:paraId="0CA9FF85">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560" w:firstLineChars="200"/>
        <w:textAlignment w:val="auto"/>
        <w:rPr>
          <w:rFonts w:hint="eastAsia" w:ascii="Times New Roman" w:hAnsi="Times New Roman" w:eastAsia="方正仿宋_GBK" w:cs="Times New Roman"/>
          <w:sz w:val="28"/>
          <w:highlight w:val="none"/>
        </w:rPr>
      </w:pPr>
      <w:r>
        <w:rPr>
          <w:rFonts w:hint="default" w:ascii="Times New Roman" w:hAnsi="Times New Roman" w:eastAsia="方正仿宋_GBK" w:cs="Times New Roman"/>
          <w:kern w:val="2"/>
          <w:sz w:val="28"/>
          <w:szCs w:val="28"/>
          <w:highlight w:val="none"/>
          <w:lang w:val="en-US" w:eastAsia="zh-CN" w:bidi="ar-SA"/>
        </w:rPr>
        <w:t>(</w:t>
      </w:r>
      <w:r>
        <w:rPr>
          <w:rFonts w:hint="eastAsia" w:ascii="Times New Roman" w:hAnsi="Times New Roman" w:eastAsia="方正仿宋_GBK" w:cs="Times New Roman"/>
          <w:kern w:val="2"/>
          <w:sz w:val="28"/>
          <w:szCs w:val="28"/>
          <w:highlight w:val="none"/>
          <w:lang w:val="en-US" w:eastAsia="zh-CN" w:bidi="ar-SA"/>
        </w:rPr>
        <w:t>11</w:t>
      </w:r>
      <w:r>
        <w:rPr>
          <w:rFonts w:hint="default" w:ascii="Times New Roman" w:hAnsi="Times New Roman" w:eastAsia="方正仿宋_GBK" w:cs="Times New Roman"/>
          <w:kern w:val="2"/>
          <w:sz w:val="28"/>
          <w:szCs w:val="28"/>
          <w:highlight w:val="none"/>
          <w:lang w:val="en-US" w:eastAsia="zh-CN" w:bidi="ar-SA"/>
        </w:rPr>
        <w:t>)</w:t>
      </w:r>
      <w:r>
        <w:rPr>
          <w:rFonts w:hint="eastAsia" w:ascii="Times New Roman" w:hAnsi="Times New Roman" w:eastAsia="方正仿宋_GBK" w:cs="Times New Roman"/>
          <w:sz w:val="28"/>
          <w:highlight w:val="none"/>
        </w:rPr>
        <w:t>在保险期间内，扩展承保合同总价值不超过1000万的扩建、改建及维修工程。如果工程的合同总价值超过1000万，</w:t>
      </w:r>
      <w:r>
        <w:rPr>
          <w:rFonts w:hint="eastAsia" w:ascii="Times New Roman" w:hAnsi="Times New Roman" w:eastAsia="方正仿宋_GBK" w:cs="Times New Roman"/>
          <w:sz w:val="28"/>
          <w:highlight w:val="none"/>
          <w:lang w:val="en-US" w:eastAsia="zh-CN"/>
        </w:rPr>
        <w:t>被保险人</w:t>
      </w:r>
      <w:r>
        <w:rPr>
          <w:rFonts w:hint="eastAsia" w:ascii="Times New Roman" w:hAnsi="Times New Roman" w:eastAsia="方正仿宋_GBK" w:cs="Times New Roman"/>
          <w:sz w:val="28"/>
          <w:highlight w:val="none"/>
        </w:rPr>
        <w:t>提前通知保险人，保险人保留对此工程收取附加保险费的权利。</w:t>
      </w:r>
    </w:p>
    <w:p w14:paraId="24E36C5C">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560" w:firstLineChars="200"/>
        <w:textAlignment w:val="auto"/>
        <w:rPr>
          <w:rFonts w:hint="eastAsia" w:ascii="Times New Roman" w:hAnsi="Times New Roman" w:eastAsia="方正仿宋_GBK" w:cs="Times New Roman"/>
          <w:sz w:val="28"/>
          <w:highlight w:val="none"/>
          <w:lang w:val="en-US" w:eastAsia="zh-CN"/>
        </w:rPr>
      </w:pPr>
      <w:r>
        <w:rPr>
          <w:rFonts w:hint="default" w:ascii="Times New Roman" w:hAnsi="Times New Roman" w:eastAsia="方正仿宋_GBK" w:cs="Times New Roman"/>
          <w:kern w:val="2"/>
          <w:sz w:val="28"/>
          <w:szCs w:val="28"/>
          <w:highlight w:val="none"/>
          <w:lang w:val="en-US" w:eastAsia="zh-CN" w:bidi="ar-SA"/>
        </w:rPr>
        <w:t>(</w:t>
      </w:r>
      <w:r>
        <w:rPr>
          <w:rFonts w:hint="eastAsia" w:ascii="Times New Roman" w:hAnsi="Times New Roman" w:eastAsia="方正仿宋_GBK" w:cs="Times New Roman"/>
          <w:kern w:val="2"/>
          <w:sz w:val="28"/>
          <w:szCs w:val="28"/>
          <w:highlight w:val="none"/>
          <w:lang w:val="en-US" w:eastAsia="zh-CN" w:bidi="ar-SA"/>
        </w:rPr>
        <w:t>12</w:t>
      </w:r>
      <w:r>
        <w:rPr>
          <w:rFonts w:hint="default" w:ascii="Times New Roman" w:hAnsi="Times New Roman" w:eastAsia="方正仿宋_GBK" w:cs="Times New Roman"/>
          <w:kern w:val="2"/>
          <w:sz w:val="28"/>
          <w:szCs w:val="28"/>
          <w:highlight w:val="none"/>
          <w:lang w:val="en-US" w:eastAsia="zh-CN" w:bidi="ar-SA"/>
        </w:rPr>
        <w:t>)</w:t>
      </w:r>
      <w:r>
        <w:rPr>
          <w:rFonts w:hint="eastAsia" w:ascii="Times New Roman" w:hAnsi="Times New Roman" w:eastAsia="方正仿宋_GBK" w:cs="Times New Roman"/>
          <w:sz w:val="28"/>
          <w:highlight w:val="none"/>
        </w:rPr>
        <w:t>在保险财产因保险责任范围内的风险造成的全部或部分损失时，保险人承担保险地址范围内因保险事故而产生自有或公共给排水系统的合理、必要的清理费用。</w:t>
      </w:r>
    </w:p>
    <w:p w14:paraId="344C7EB4">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560" w:firstLineChars="200"/>
        <w:textAlignment w:val="auto"/>
        <w:rPr>
          <w:rFonts w:hint="eastAsia" w:ascii="Times New Roman" w:hAnsi="Times New Roman" w:eastAsia="方正仿宋_GBK" w:cs="Times New Roman"/>
          <w:sz w:val="28"/>
          <w:highlight w:val="none"/>
          <w:lang w:val="en-US" w:eastAsia="zh-CN"/>
        </w:rPr>
      </w:pPr>
      <w:r>
        <w:rPr>
          <w:rFonts w:hint="default" w:ascii="Times New Roman" w:hAnsi="Times New Roman" w:eastAsia="方正仿宋_GBK" w:cs="Times New Roman"/>
          <w:kern w:val="2"/>
          <w:sz w:val="28"/>
          <w:szCs w:val="28"/>
          <w:highlight w:val="none"/>
          <w:lang w:val="en-US" w:eastAsia="zh-CN" w:bidi="ar-SA"/>
        </w:rPr>
        <w:t>(</w:t>
      </w:r>
      <w:r>
        <w:rPr>
          <w:rFonts w:hint="eastAsia" w:ascii="Times New Roman" w:hAnsi="Times New Roman" w:eastAsia="方正仿宋_GBK" w:cs="Times New Roman"/>
          <w:kern w:val="2"/>
          <w:sz w:val="28"/>
          <w:szCs w:val="28"/>
          <w:highlight w:val="none"/>
          <w:lang w:val="en-US" w:eastAsia="zh-CN" w:bidi="ar-SA"/>
        </w:rPr>
        <w:t>13</w:t>
      </w:r>
      <w:r>
        <w:rPr>
          <w:rFonts w:hint="default" w:ascii="Times New Roman" w:hAnsi="Times New Roman" w:eastAsia="方正仿宋_GBK" w:cs="Times New Roman"/>
          <w:kern w:val="2"/>
          <w:sz w:val="28"/>
          <w:szCs w:val="28"/>
          <w:highlight w:val="none"/>
          <w:lang w:val="en-US" w:eastAsia="zh-CN" w:bidi="ar-SA"/>
        </w:rPr>
        <w:t>)</w:t>
      </w:r>
      <w:r>
        <w:rPr>
          <w:rFonts w:hint="eastAsia" w:ascii="Times New Roman" w:hAnsi="Times New Roman" w:eastAsia="方正仿宋_GBK" w:cs="Times New Roman"/>
          <w:sz w:val="28"/>
          <w:highlight w:val="none"/>
          <w:lang w:val="en-US" w:eastAsia="zh-CN"/>
        </w:rPr>
        <w:t>由于自然灾害导致</w:t>
      </w:r>
      <w:r>
        <w:rPr>
          <w:rFonts w:hint="eastAsia" w:eastAsia="方正仿宋_GBK" w:cs="Times New Roman"/>
          <w:sz w:val="28"/>
          <w:highlight w:val="none"/>
          <w:lang w:val="en-US" w:eastAsia="zh-CN"/>
        </w:rPr>
        <w:t>被保险人</w:t>
      </w:r>
      <w:r>
        <w:rPr>
          <w:rFonts w:hint="eastAsia" w:ascii="Times New Roman" w:hAnsi="Times New Roman" w:eastAsia="方正仿宋_GBK" w:cs="Times New Roman"/>
          <w:sz w:val="28"/>
          <w:highlight w:val="none"/>
          <w:lang w:val="en-US" w:eastAsia="zh-CN"/>
        </w:rPr>
        <w:t>财产损失时，</w:t>
      </w:r>
      <w:r>
        <w:rPr>
          <w:rFonts w:hint="eastAsia" w:eastAsia="方正仿宋_GBK" w:cs="Times New Roman"/>
          <w:sz w:val="28"/>
          <w:highlight w:val="none"/>
          <w:lang w:val="en-US" w:eastAsia="zh-CN"/>
        </w:rPr>
        <w:t>被保险人</w:t>
      </w:r>
      <w:r>
        <w:rPr>
          <w:rFonts w:hint="eastAsia" w:ascii="Times New Roman" w:hAnsi="Times New Roman" w:eastAsia="方正仿宋_GBK" w:cs="Times New Roman"/>
          <w:sz w:val="28"/>
          <w:highlight w:val="none"/>
          <w:lang w:val="en-US" w:eastAsia="zh-CN"/>
        </w:rPr>
        <w:t>提供事故时间或者气象预报，保险人自行调取气象证明。</w:t>
      </w:r>
    </w:p>
    <w:p w14:paraId="35A5B324">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560" w:firstLineChars="200"/>
        <w:textAlignment w:val="auto"/>
        <w:rPr>
          <w:rFonts w:hint="eastAsia" w:ascii="Times New Roman" w:hAnsi="Times New Roman" w:eastAsia="方正仿宋_GBK" w:cs="Times New Roman"/>
          <w:sz w:val="28"/>
          <w:highlight w:val="none"/>
        </w:rPr>
      </w:pPr>
      <w:r>
        <w:rPr>
          <w:rFonts w:hint="default" w:ascii="Times New Roman" w:hAnsi="Times New Roman" w:eastAsia="方正仿宋_GBK" w:cs="Times New Roman"/>
          <w:sz w:val="28"/>
          <w:highlight w:val="none"/>
          <w:lang w:val="en-US" w:eastAsia="zh-CN"/>
        </w:rPr>
        <w:t>(</w:t>
      </w:r>
      <w:r>
        <w:rPr>
          <w:rFonts w:hint="eastAsia" w:ascii="Times New Roman" w:hAnsi="Times New Roman" w:eastAsia="方正仿宋_GBK" w:cs="Times New Roman"/>
          <w:sz w:val="28"/>
          <w:highlight w:val="none"/>
          <w:lang w:val="en-US" w:eastAsia="zh-CN"/>
        </w:rPr>
        <w:t>14</w:t>
      </w:r>
      <w:r>
        <w:rPr>
          <w:rFonts w:hint="default" w:ascii="Times New Roman" w:hAnsi="Times New Roman" w:eastAsia="方正仿宋_GBK" w:cs="Times New Roman"/>
          <w:sz w:val="28"/>
          <w:highlight w:val="none"/>
          <w:lang w:val="en-US" w:eastAsia="zh-CN"/>
        </w:rPr>
        <w:t>)</w:t>
      </w:r>
      <w:r>
        <w:rPr>
          <w:rFonts w:hint="eastAsia" w:ascii="Times New Roman" w:hAnsi="Times New Roman" w:eastAsia="方正仿宋_GBK" w:cs="Times New Roman"/>
          <w:sz w:val="28"/>
          <w:highlight w:val="none"/>
        </w:rPr>
        <w:t>经双方同意，发生</w:t>
      </w:r>
      <w:r>
        <w:rPr>
          <w:rFonts w:hint="eastAsia" w:ascii="Times New Roman" w:hAnsi="Times New Roman" w:eastAsia="方正仿宋_GBK" w:cs="Times New Roman"/>
          <w:sz w:val="28"/>
          <w:highlight w:val="none"/>
          <w:lang w:val="en-US" w:eastAsia="zh-CN"/>
        </w:rPr>
        <w:t>被保险人投保的财产一切险</w:t>
      </w:r>
      <w:r>
        <w:rPr>
          <w:rFonts w:hint="eastAsia" w:ascii="Times New Roman" w:hAnsi="Times New Roman" w:eastAsia="方正仿宋_GBK" w:cs="Times New Roman"/>
          <w:sz w:val="28"/>
          <w:highlight w:val="none"/>
        </w:rPr>
        <w:t>保险责任范围内的损失，即使根据法律或契约应由第三方负责赔偿的，</w:t>
      </w:r>
      <w:r>
        <w:rPr>
          <w:rFonts w:hint="eastAsia" w:ascii="Times New Roman" w:hAnsi="Times New Roman" w:eastAsia="方正仿宋_GBK" w:cs="Times New Roman"/>
          <w:sz w:val="28"/>
          <w:highlight w:val="none"/>
          <w:lang w:val="en-US" w:eastAsia="zh-CN"/>
        </w:rPr>
        <w:t>保险人</w:t>
      </w:r>
      <w:r>
        <w:rPr>
          <w:rFonts w:hint="eastAsia" w:ascii="Times New Roman" w:hAnsi="Times New Roman" w:eastAsia="方正仿宋_GBK" w:cs="Times New Roman"/>
          <w:sz w:val="28"/>
          <w:highlight w:val="none"/>
        </w:rPr>
        <w:t>先行支付赔款</w:t>
      </w:r>
      <w:r>
        <w:rPr>
          <w:rFonts w:hint="eastAsia" w:ascii="Times New Roman" w:hAnsi="Times New Roman" w:eastAsia="方正仿宋_GBK" w:cs="Times New Roman"/>
          <w:sz w:val="28"/>
          <w:highlight w:val="none"/>
          <w:lang w:eastAsia="zh-CN"/>
        </w:rPr>
        <w:t>，</w:t>
      </w:r>
      <w:r>
        <w:rPr>
          <w:rFonts w:hint="eastAsia" w:ascii="Times New Roman" w:hAnsi="Times New Roman" w:eastAsia="方正仿宋_GBK" w:cs="Times New Roman"/>
          <w:sz w:val="28"/>
          <w:highlight w:val="none"/>
          <w:lang w:val="en-US" w:eastAsia="zh-CN"/>
        </w:rPr>
        <w:t>被保险人继续向第三者索赔，被保险人</w:t>
      </w:r>
      <w:r>
        <w:rPr>
          <w:rFonts w:hint="eastAsia" w:ascii="Times New Roman" w:hAnsi="Times New Roman" w:eastAsia="方正仿宋_GBK" w:cs="Times New Roman"/>
          <w:sz w:val="28"/>
          <w:highlight w:val="none"/>
        </w:rPr>
        <w:t>在收到赔款后，将相关追偿权益转让保险人</w:t>
      </w:r>
      <w:r>
        <w:rPr>
          <w:rFonts w:hint="eastAsia" w:ascii="Times New Roman" w:hAnsi="Times New Roman" w:eastAsia="方正仿宋_GBK" w:cs="Times New Roman"/>
          <w:sz w:val="28"/>
          <w:highlight w:val="none"/>
          <w:lang w:eastAsia="zh-CN"/>
        </w:rPr>
        <w:t>，</w:t>
      </w:r>
      <w:r>
        <w:rPr>
          <w:rFonts w:hint="eastAsia" w:ascii="Times New Roman" w:hAnsi="Times New Roman" w:eastAsia="方正仿宋_GBK" w:cs="Times New Roman"/>
          <w:sz w:val="28"/>
          <w:highlight w:val="none"/>
          <w:lang w:val="en-US" w:eastAsia="zh-CN"/>
        </w:rPr>
        <w:t>被保险人积极配合保险人进行追偿工作</w:t>
      </w:r>
      <w:r>
        <w:rPr>
          <w:rFonts w:hint="eastAsia" w:ascii="Times New Roman" w:hAnsi="Times New Roman" w:eastAsia="方正仿宋_GBK" w:cs="Times New Roman"/>
          <w:sz w:val="28"/>
          <w:highlight w:val="none"/>
        </w:rPr>
        <w:t>。</w:t>
      </w:r>
    </w:p>
    <w:p w14:paraId="7013DE3E">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560" w:firstLineChars="200"/>
        <w:textAlignment w:val="auto"/>
        <w:rPr>
          <w:rFonts w:hint="eastAsia" w:ascii="Times New Roman" w:hAnsi="Times New Roman" w:eastAsia="方正仿宋_GBK" w:cs="Times New Roman"/>
          <w:kern w:val="2"/>
          <w:sz w:val="28"/>
          <w:szCs w:val="24"/>
          <w:highlight w:val="none"/>
          <w:lang w:val="zh-TW" w:eastAsia="zh-TW" w:bidi="ar-SA"/>
        </w:rPr>
      </w:pPr>
      <w:r>
        <w:rPr>
          <w:rFonts w:hint="eastAsia" w:ascii="Times New Roman" w:hAnsi="Times New Roman" w:eastAsia="方正仿宋_GBK" w:cs="Times New Roman"/>
          <w:kern w:val="2"/>
          <w:sz w:val="28"/>
          <w:szCs w:val="24"/>
          <w:highlight w:val="none"/>
          <w:lang w:val="zh-TW" w:eastAsia="zh-TW" w:bidi="ar-SA"/>
        </w:rPr>
        <w:t>(1</w:t>
      </w:r>
      <w:r>
        <w:rPr>
          <w:rFonts w:hint="eastAsia" w:ascii="Times New Roman" w:hAnsi="Times New Roman" w:eastAsia="方正仿宋_GBK" w:cs="Times New Roman"/>
          <w:kern w:val="2"/>
          <w:sz w:val="28"/>
          <w:szCs w:val="24"/>
          <w:highlight w:val="none"/>
          <w:lang w:val="en-US" w:eastAsia="zh-CN" w:bidi="ar-SA"/>
        </w:rPr>
        <w:t>5</w:t>
      </w:r>
      <w:r>
        <w:rPr>
          <w:rFonts w:hint="eastAsia" w:ascii="Times New Roman" w:hAnsi="Times New Roman" w:eastAsia="方正仿宋_GBK" w:cs="Times New Roman"/>
          <w:kern w:val="2"/>
          <w:sz w:val="28"/>
          <w:szCs w:val="24"/>
          <w:highlight w:val="none"/>
          <w:lang w:val="zh-TW" w:eastAsia="zh-TW" w:bidi="ar-SA"/>
        </w:rPr>
        <w:t>)由于使用暴力手段进出保险标的坐落地址或被电子监测系统记录的，并经公安部门证明确系盗窃或抢劫行为造成保险标的的损失，保险人负责赔偿。保险人履行赔偿义务后破案追回的保险标的，由双方协商处理。如归被保险人，</w:t>
      </w:r>
      <w:r>
        <w:rPr>
          <w:rFonts w:hint="eastAsia" w:ascii="Times New Roman" w:hAnsi="Times New Roman" w:eastAsia="方正仿宋_GBK" w:cs="Times New Roman"/>
          <w:kern w:val="2"/>
          <w:sz w:val="28"/>
          <w:szCs w:val="24"/>
          <w:highlight w:val="none"/>
          <w:lang w:val="en-US" w:eastAsia="zh-CN" w:bidi="ar-SA"/>
        </w:rPr>
        <w:t>被保险人</w:t>
      </w:r>
      <w:r>
        <w:rPr>
          <w:rFonts w:hint="eastAsia" w:ascii="Times New Roman" w:hAnsi="Times New Roman" w:eastAsia="方正仿宋_GBK" w:cs="Times New Roman"/>
          <w:kern w:val="2"/>
          <w:sz w:val="28"/>
          <w:szCs w:val="24"/>
          <w:highlight w:val="none"/>
          <w:lang w:val="zh-TW" w:eastAsia="zh-TW" w:bidi="ar-SA"/>
        </w:rPr>
        <w:t>将已获赔款退还保险人</w:t>
      </w:r>
      <w:r>
        <w:rPr>
          <w:rFonts w:hint="eastAsia" w:ascii="Times New Roman" w:hAnsi="Times New Roman" w:eastAsia="方正仿宋_GBK" w:cs="Times New Roman"/>
          <w:kern w:val="2"/>
          <w:sz w:val="28"/>
          <w:szCs w:val="24"/>
          <w:highlight w:val="none"/>
          <w:lang w:val="zh-TW" w:eastAsia="zh-CN" w:bidi="ar-SA"/>
        </w:rPr>
        <w:t>，</w:t>
      </w:r>
      <w:r>
        <w:rPr>
          <w:rFonts w:hint="eastAsia" w:ascii="Times New Roman" w:hAnsi="Times New Roman" w:eastAsia="方正仿宋_GBK" w:cs="Times New Roman"/>
          <w:kern w:val="2"/>
          <w:sz w:val="28"/>
          <w:szCs w:val="24"/>
          <w:highlight w:val="none"/>
          <w:lang w:val="zh-TW" w:eastAsia="zh-TW" w:bidi="ar-SA"/>
        </w:rPr>
        <w:t>对被追回保险标的的损失部分，保险人按照本保险合同的约定进行赔偿。</w:t>
      </w:r>
    </w:p>
    <w:p w14:paraId="3F16AA6A">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仿宋_GBK" w:hAnsi="方正仿宋_GBK" w:eastAsia="方正仿宋_GBK" w:cs="方正仿宋_GBK"/>
          <w:b/>
          <w:bCs/>
          <w:color w:val="000000"/>
          <w:sz w:val="28"/>
          <w:szCs w:val="28"/>
          <w:highlight w:val="none"/>
          <w:lang w:eastAsia="zh-CN"/>
        </w:rPr>
      </w:pPr>
      <w:r>
        <w:rPr>
          <w:rFonts w:hint="eastAsia" w:ascii="方正仿宋_GBK" w:hAnsi="方正仿宋_GBK" w:eastAsia="方正仿宋_GBK" w:cs="方正仿宋_GBK"/>
          <w:b/>
          <w:bCs/>
          <w:color w:val="000000"/>
          <w:sz w:val="28"/>
          <w:szCs w:val="28"/>
          <w:highlight w:val="none"/>
          <w:lang w:eastAsia="zh-CN"/>
        </w:rPr>
        <w:t>【</w:t>
      </w:r>
      <w:r>
        <w:rPr>
          <w:rFonts w:hint="eastAsia" w:ascii="方正仿宋_GBK" w:hAnsi="方正仿宋_GBK" w:eastAsia="方正仿宋_GBK" w:cs="方正仿宋_GBK"/>
          <w:b/>
          <w:bCs/>
          <w:color w:val="000000"/>
          <w:sz w:val="28"/>
          <w:szCs w:val="28"/>
          <w:highlight w:val="none"/>
        </w:rPr>
        <w:t>保险责任</w:t>
      </w:r>
      <w:r>
        <w:rPr>
          <w:rFonts w:hint="eastAsia" w:ascii="方正仿宋_GBK" w:hAnsi="方正仿宋_GBK" w:eastAsia="方正仿宋_GBK" w:cs="方正仿宋_GBK"/>
          <w:b/>
          <w:bCs/>
          <w:color w:val="000000"/>
          <w:sz w:val="28"/>
          <w:szCs w:val="28"/>
          <w:highlight w:val="none"/>
          <w:lang w:eastAsia="zh-CN"/>
        </w:rPr>
        <w:t>】</w:t>
      </w:r>
    </w:p>
    <w:p w14:paraId="51DD700E">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方正仿宋_GBK" w:cs="Times New Roman"/>
          <w:sz w:val="28"/>
          <w:highlight w:val="none"/>
        </w:rPr>
      </w:pPr>
      <w:r>
        <w:rPr>
          <w:rFonts w:hint="eastAsia" w:ascii="Times New Roman" w:hAnsi="Times New Roman" w:eastAsia="方正仿宋_GBK" w:cs="Times New Roman"/>
          <w:b/>
          <w:bCs/>
          <w:sz w:val="28"/>
          <w:highlight w:val="none"/>
        </w:rPr>
        <w:t>第</w:t>
      </w:r>
      <w:r>
        <w:rPr>
          <w:rFonts w:hint="eastAsia" w:ascii="Times New Roman" w:hAnsi="Times New Roman" w:eastAsia="方正仿宋_GBK" w:cs="Times New Roman"/>
          <w:b/>
          <w:bCs/>
          <w:sz w:val="28"/>
          <w:highlight w:val="none"/>
          <w:lang w:val="en-US" w:eastAsia="zh-CN"/>
        </w:rPr>
        <w:t>三</w:t>
      </w:r>
      <w:r>
        <w:rPr>
          <w:rFonts w:hint="eastAsia" w:ascii="Times New Roman" w:hAnsi="Times New Roman" w:eastAsia="方正仿宋_GBK" w:cs="Times New Roman"/>
          <w:b/>
          <w:bCs/>
          <w:sz w:val="28"/>
          <w:highlight w:val="none"/>
        </w:rPr>
        <w:t>条</w:t>
      </w:r>
      <w:r>
        <w:rPr>
          <w:rFonts w:hint="eastAsia" w:ascii="Times New Roman" w:hAnsi="Times New Roman" w:eastAsia="方正仿宋_GBK" w:cs="Times New Roman"/>
          <w:sz w:val="28"/>
          <w:highlight w:val="none"/>
        </w:rPr>
        <w:t xml:space="preserve"> </w:t>
      </w:r>
      <w:r>
        <w:rPr>
          <w:rFonts w:hint="eastAsia" w:ascii="Times New Roman" w:hAnsi="Times New Roman" w:eastAsia="方正仿宋_GBK" w:cs="Times New Roman"/>
          <w:sz w:val="28"/>
          <w:highlight w:val="none"/>
          <w:lang w:val="en-US" w:eastAsia="zh-CN"/>
        </w:rPr>
        <w:t xml:space="preserve"> </w:t>
      </w:r>
      <w:r>
        <w:rPr>
          <w:rFonts w:hint="eastAsia" w:ascii="Times New Roman" w:hAnsi="Times New Roman" w:eastAsia="方正仿宋_GBK" w:cs="Times New Roman"/>
          <w:sz w:val="28"/>
          <w:highlight w:val="none"/>
        </w:rPr>
        <w:t>保险期间内，由于下列原因引起或构成突然的、不可预料的意外事故造成的保险标的本身的物质损坏或灭失，保险人按照本保险合同的约定负责赔偿：</w:t>
      </w:r>
    </w:p>
    <w:p w14:paraId="71BEA793">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方正仿宋_GBK" w:cs="Times New Roman"/>
          <w:sz w:val="28"/>
          <w:highlight w:val="none"/>
        </w:rPr>
      </w:pPr>
      <w:r>
        <w:rPr>
          <w:rFonts w:hint="eastAsia" w:ascii="Times New Roman" w:hAnsi="Times New Roman" w:eastAsia="方正仿宋_GBK" w:cs="Times New Roman"/>
          <w:sz w:val="28"/>
          <w:highlight w:val="none"/>
        </w:rPr>
        <w:t>（</w:t>
      </w:r>
      <w:r>
        <w:rPr>
          <w:rFonts w:hint="eastAsia" w:ascii="Times New Roman" w:hAnsi="Times New Roman" w:eastAsia="方正仿宋_GBK" w:cs="Times New Roman"/>
          <w:sz w:val="28"/>
          <w:highlight w:val="none"/>
          <w:lang w:val="en-US" w:eastAsia="zh-CN"/>
        </w:rPr>
        <w:t>1</w:t>
      </w:r>
      <w:r>
        <w:rPr>
          <w:rFonts w:hint="eastAsia" w:ascii="Times New Roman" w:hAnsi="Times New Roman" w:eastAsia="方正仿宋_GBK" w:cs="Times New Roman"/>
          <w:sz w:val="28"/>
          <w:highlight w:val="none"/>
        </w:rPr>
        <w:t>）设计、制造或安装错误、铸造和原材料缺陷；</w:t>
      </w:r>
    </w:p>
    <w:p w14:paraId="1A25233D">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方正仿宋_GBK" w:cs="Times New Roman"/>
          <w:sz w:val="28"/>
          <w:highlight w:val="none"/>
        </w:rPr>
      </w:pPr>
      <w:r>
        <w:rPr>
          <w:rFonts w:hint="eastAsia" w:ascii="Times New Roman" w:hAnsi="Times New Roman" w:eastAsia="方正仿宋_GBK" w:cs="Times New Roman"/>
          <w:sz w:val="28"/>
          <w:highlight w:val="none"/>
        </w:rPr>
        <w:t>（</w:t>
      </w:r>
      <w:r>
        <w:rPr>
          <w:rFonts w:hint="eastAsia" w:ascii="Times New Roman" w:hAnsi="Times New Roman" w:eastAsia="方正仿宋_GBK" w:cs="Times New Roman"/>
          <w:sz w:val="28"/>
          <w:highlight w:val="none"/>
          <w:lang w:val="en-US" w:eastAsia="zh-CN"/>
        </w:rPr>
        <w:t>2</w:t>
      </w:r>
      <w:r>
        <w:rPr>
          <w:rFonts w:hint="eastAsia" w:ascii="Times New Roman" w:hAnsi="Times New Roman" w:eastAsia="方正仿宋_GBK" w:cs="Times New Roman"/>
          <w:sz w:val="28"/>
          <w:highlight w:val="none"/>
        </w:rPr>
        <w:t>）工人、技术人员操作错误、缺乏经验、技术不善、疏忽、过失、恶意行为；</w:t>
      </w:r>
    </w:p>
    <w:p w14:paraId="04F8ED94">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方正仿宋_GBK" w:cs="Times New Roman"/>
          <w:sz w:val="28"/>
          <w:highlight w:val="none"/>
        </w:rPr>
      </w:pPr>
      <w:r>
        <w:rPr>
          <w:rFonts w:hint="eastAsia" w:ascii="Times New Roman" w:hAnsi="Times New Roman" w:eastAsia="方正仿宋_GBK" w:cs="Times New Roman"/>
          <w:sz w:val="28"/>
          <w:highlight w:val="none"/>
        </w:rPr>
        <w:t>（</w:t>
      </w:r>
      <w:r>
        <w:rPr>
          <w:rFonts w:hint="eastAsia" w:ascii="Times New Roman" w:hAnsi="Times New Roman" w:eastAsia="方正仿宋_GBK" w:cs="Times New Roman"/>
          <w:sz w:val="28"/>
          <w:highlight w:val="none"/>
          <w:lang w:val="en-US" w:eastAsia="zh-CN"/>
        </w:rPr>
        <w:t>3</w:t>
      </w:r>
      <w:r>
        <w:rPr>
          <w:rFonts w:hint="eastAsia" w:ascii="Times New Roman" w:hAnsi="Times New Roman" w:eastAsia="方正仿宋_GBK" w:cs="Times New Roman"/>
          <w:sz w:val="28"/>
          <w:highlight w:val="none"/>
        </w:rPr>
        <w:t>）离心力引起的断裂；</w:t>
      </w:r>
    </w:p>
    <w:p w14:paraId="1E22855C">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方正仿宋_GBK" w:cs="Times New Roman"/>
          <w:sz w:val="28"/>
          <w:highlight w:val="none"/>
        </w:rPr>
      </w:pPr>
      <w:r>
        <w:rPr>
          <w:rFonts w:hint="eastAsia" w:ascii="Times New Roman" w:hAnsi="Times New Roman" w:eastAsia="方正仿宋_GBK" w:cs="Times New Roman"/>
          <w:sz w:val="28"/>
          <w:highlight w:val="none"/>
        </w:rPr>
        <w:t>（</w:t>
      </w:r>
      <w:r>
        <w:rPr>
          <w:rFonts w:hint="eastAsia" w:ascii="Times New Roman" w:hAnsi="Times New Roman" w:eastAsia="方正仿宋_GBK" w:cs="Times New Roman"/>
          <w:sz w:val="28"/>
          <w:highlight w:val="none"/>
          <w:lang w:val="en-US" w:eastAsia="zh-CN"/>
        </w:rPr>
        <w:t>4</w:t>
      </w:r>
      <w:r>
        <w:rPr>
          <w:rFonts w:hint="eastAsia" w:ascii="Times New Roman" w:hAnsi="Times New Roman" w:eastAsia="方正仿宋_GBK" w:cs="Times New Roman"/>
          <w:sz w:val="28"/>
          <w:highlight w:val="none"/>
        </w:rPr>
        <w:t>）超负荷、超电压、碰线、电弧、漏电、短路、感应电及其他电气原因；</w:t>
      </w:r>
    </w:p>
    <w:p w14:paraId="1ABB2708">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方正仿宋_GBK" w:cs="Times New Roman"/>
          <w:sz w:val="28"/>
          <w:highlight w:val="none"/>
          <w:lang w:val="en-US" w:eastAsia="zh-CN"/>
        </w:rPr>
      </w:pPr>
      <w:r>
        <w:rPr>
          <w:rFonts w:hint="eastAsia" w:ascii="Times New Roman" w:hAnsi="Times New Roman" w:eastAsia="方正仿宋_GBK" w:cs="Times New Roman"/>
          <w:sz w:val="28"/>
          <w:highlight w:val="none"/>
          <w:lang w:val="en-US" w:eastAsia="zh-CN"/>
        </w:rPr>
        <w:t>（5）接卸物料中异物导致设备零部件损坏或整体部件破损；</w:t>
      </w:r>
    </w:p>
    <w:p w14:paraId="0C99BE78">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方正仿宋_GBK" w:cs="Times New Roman"/>
          <w:sz w:val="28"/>
          <w:highlight w:val="none"/>
          <w:lang w:val="en-US" w:eastAsia="zh-CN"/>
        </w:rPr>
      </w:pPr>
      <w:r>
        <w:rPr>
          <w:rFonts w:hint="eastAsia" w:ascii="Times New Roman" w:hAnsi="Times New Roman" w:eastAsia="方正仿宋_GBK" w:cs="Times New Roman"/>
          <w:sz w:val="28"/>
          <w:highlight w:val="none"/>
          <w:lang w:val="en-US" w:eastAsia="zh-CN"/>
        </w:rPr>
        <w:t>（6）由于自动报警装置无法检测到或作业人员无法发现的隐蔽部位设备部件磨损，导致的设备损坏或其他财产损失；</w:t>
      </w:r>
    </w:p>
    <w:p w14:paraId="5F01A546">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方正仿宋_GBK" w:cs="Times New Roman"/>
          <w:sz w:val="28"/>
          <w:highlight w:val="none"/>
          <w:lang w:val="en-US" w:eastAsia="zh-CN"/>
        </w:rPr>
      </w:pPr>
      <w:r>
        <w:rPr>
          <w:rFonts w:hint="eastAsia" w:ascii="Times New Roman" w:hAnsi="Times New Roman" w:eastAsia="方正仿宋_GBK" w:cs="Times New Roman"/>
          <w:sz w:val="28"/>
          <w:highlight w:val="none"/>
          <w:lang w:val="en-US" w:eastAsia="zh-CN"/>
        </w:rPr>
        <w:t>（7）机械设备长周期运行过程中，由机械故障、保护误动、失灵引发以及操作失误造成的故障或火灾等。</w:t>
      </w:r>
    </w:p>
    <w:p w14:paraId="21C15538">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方正仿宋_GBK" w:cs="Times New Roman"/>
          <w:sz w:val="28"/>
          <w:highlight w:val="none"/>
          <w:lang w:val="en-US" w:eastAsia="zh-CN"/>
        </w:rPr>
      </w:pPr>
      <w:r>
        <w:rPr>
          <w:rFonts w:hint="eastAsia" w:ascii="Times New Roman" w:hAnsi="Times New Roman" w:eastAsia="方正仿宋_GBK" w:cs="Times New Roman"/>
          <w:b/>
          <w:bCs/>
          <w:sz w:val="28"/>
          <w:highlight w:val="none"/>
          <w:lang w:val="en-US" w:eastAsia="zh-CN"/>
        </w:rPr>
        <w:t>第四条</w:t>
      </w:r>
      <w:r>
        <w:rPr>
          <w:rFonts w:hint="eastAsia" w:ascii="Times New Roman" w:hAnsi="Times New Roman" w:eastAsia="方正仿宋_GBK" w:cs="Times New Roman"/>
          <w:sz w:val="28"/>
          <w:highlight w:val="none"/>
          <w:lang w:val="en-US" w:eastAsia="zh-CN"/>
        </w:rPr>
        <w:t xml:space="preserve"> 保险事故发生后，被保险人为防止或减少保险标的的损失所支付的必要的、合理的费用，保险人按照本保险合同的约定也负责赔偿。</w:t>
      </w:r>
    </w:p>
    <w:p w14:paraId="1E87FC9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仿宋_GBK" w:hAnsi="方正仿宋_GBK" w:eastAsia="方正仿宋_GBK" w:cs="方正仿宋_GBK"/>
          <w:b/>
          <w:bCs/>
          <w:color w:val="000000"/>
          <w:sz w:val="28"/>
          <w:szCs w:val="28"/>
          <w:highlight w:val="none"/>
          <w:lang w:eastAsia="zh-CN"/>
        </w:rPr>
      </w:pPr>
      <w:r>
        <w:rPr>
          <w:rFonts w:hint="eastAsia" w:ascii="方正仿宋_GBK" w:hAnsi="方正仿宋_GBK" w:eastAsia="方正仿宋_GBK" w:cs="方正仿宋_GBK"/>
          <w:b/>
          <w:bCs/>
          <w:color w:val="000000"/>
          <w:sz w:val="28"/>
          <w:szCs w:val="28"/>
          <w:highlight w:val="none"/>
          <w:lang w:val="en-US" w:eastAsia="zh-CN"/>
        </w:rPr>
        <w:t>【附加险条款及</w:t>
      </w:r>
      <w:r>
        <w:rPr>
          <w:rFonts w:hint="eastAsia" w:ascii="方正仿宋_GBK" w:hAnsi="方正仿宋_GBK" w:eastAsia="方正仿宋_GBK" w:cs="方正仿宋_GBK"/>
          <w:b/>
          <w:bCs/>
          <w:color w:val="000000"/>
          <w:sz w:val="28"/>
          <w:szCs w:val="28"/>
          <w:highlight w:val="none"/>
        </w:rPr>
        <w:t>特别约定</w:t>
      </w:r>
      <w:r>
        <w:rPr>
          <w:rFonts w:hint="eastAsia" w:ascii="方正仿宋_GBK" w:hAnsi="方正仿宋_GBK" w:eastAsia="方正仿宋_GBK" w:cs="方正仿宋_GBK"/>
          <w:b/>
          <w:bCs/>
          <w:color w:val="000000"/>
          <w:sz w:val="28"/>
          <w:szCs w:val="28"/>
          <w:highlight w:val="none"/>
          <w:lang w:eastAsia="zh-CN"/>
        </w:rPr>
        <w:t>】</w:t>
      </w:r>
    </w:p>
    <w:p w14:paraId="70AABF27">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560" w:firstLineChars="200"/>
        <w:jc w:val="both"/>
        <w:textAlignment w:val="auto"/>
        <w:rPr>
          <w:rFonts w:hint="eastAsia" w:ascii="Times New Roman" w:hAnsi="Times New Roman" w:eastAsia="方正仿宋_GBK" w:cs="Times New Roman"/>
          <w:sz w:val="28"/>
          <w:highlight w:val="none"/>
        </w:rPr>
      </w:pPr>
      <w:r>
        <w:rPr>
          <w:rFonts w:hint="default" w:ascii="Times New Roman" w:hAnsi="Times New Roman" w:eastAsia="方正仿宋_GBK" w:cs="Times New Roman"/>
          <w:kern w:val="2"/>
          <w:sz w:val="28"/>
          <w:szCs w:val="24"/>
          <w:highlight w:val="none"/>
          <w:lang w:val="en-US" w:eastAsia="zh-CN" w:bidi="ar-SA"/>
        </w:rPr>
        <w:t>(1)</w:t>
      </w:r>
      <w:r>
        <w:rPr>
          <w:rFonts w:hint="eastAsia" w:ascii="Times New Roman" w:hAnsi="Times New Roman" w:eastAsia="方正仿宋_GBK" w:cs="Times New Roman"/>
          <w:sz w:val="28"/>
          <w:highlight w:val="none"/>
        </w:rPr>
        <w:t>机器设备资产的保险金额按照投保时的账面原值确定，</w:t>
      </w:r>
      <w:r>
        <w:rPr>
          <w:rFonts w:hint="eastAsia" w:eastAsia="方正仿宋_GBK" w:cs="Times New Roman"/>
          <w:sz w:val="28"/>
          <w:highlight w:val="none"/>
          <w:lang w:eastAsia="zh-CN"/>
        </w:rPr>
        <w:t>保险人</w:t>
      </w:r>
      <w:r>
        <w:rPr>
          <w:rFonts w:hint="eastAsia" w:ascii="Times New Roman" w:hAnsi="Times New Roman" w:eastAsia="方正仿宋_GBK" w:cs="Times New Roman"/>
          <w:sz w:val="28"/>
          <w:highlight w:val="none"/>
        </w:rPr>
        <w:t>视为按照重置价值足额投保，出险后不进行比例赔偿。</w:t>
      </w:r>
    </w:p>
    <w:p w14:paraId="50973613">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560" w:firstLineChars="200"/>
        <w:jc w:val="both"/>
        <w:textAlignment w:val="auto"/>
        <w:rPr>
          <w:rFonts w:hint="eastAsia" w:ascii="方正仿宋_GBK" w:hAnsi="方正仿宋_GBK" w:eastAsia="方正仿宋_GBK" w:cs="方正仿宋_GBK"/>
          <w:b/>
          <w:color w:val="000000"/>
          <w:sz w:val="28"/>
          <w:szCs w:val="28"/>
          <w:highlight w:val="none"/>
          <w:lang w:val="en-US" w:eastAsia="zh-CN"/>
        </w:rPr>
      </w:pPr>
      <w:r>
        <w:rPr>
          <w:rFonts w:hint="default" w:ascii="Times New Roman" w:hAnsi="Times New Roman" w:eastAsia="方正仿宋_GBK" w:cs="Times New Roman"/>
          <w:sz w:val="28"/>
          <w:highlight w:val="none"/>
          <w:lang w:val="en-US" w:eastAsia="zh-CN"/>
        </w:rPr>
        <w:t>(</w:t>
      </w:r>
      <w:r>
        <w:rPr>
          <w:rFonts w:hint="eastAsia" w:ascii="Times New Roman" w:hAnsi="Times New Roman" w:eastAsia="方正仿宋_GBK" w:cs="Times New Roman"/>
          <w:sz w:val="28"/>
          <w:highlight w:val="none"/>
          <w:lang w:val="en-US" w:eastAsia="zh-CN"/>
        </w:rPr>
        <w:t>2</w:t>
      </w:r>
      <w:r>
        <w:rPr>
          <w:rFonts w:hint="default" w:ascii="Times New Roman" w:hAnsi="Times New Roman" w:eastAsia="方正仿宋_GBK" w:cs="Times New Roman"/>
          <w:sz w:val="28"/>
          <w:highlight w:val="none"/>
          <w:lang w:val="en-US" w:eastAsia="zh-CN"/>
        </w:rPr>
        <w:t>)</w:t>
      </w:r>
      <w:r>
        <w:rPr>
          <w:rFonts w:hint="eastAsia" w:ascii="Times New Roman" w:hAnsi="Times New Roman" w:eastAsia="方正仿宋_GBK" w:cs="Times New Roman"/>
          <w:sz w:val="28"/>
          <w:highlight w:val="none"/>
        </w:rPr>
        <w:t>经双方同意</w:t>
      </w:r>
      <w:r>
        <w:rPr>
          <w:rFonts w:hint="eastAsia" w:ascii="Times New Roman" w:hAnsi="Times New Roman" w:eastAsia="方正仿宋_GBK" w:cs="Times New Roman"/>
          <w:sz w:val="28"/>
          <w:highlight w:val="none"/>
          <w:lang w:eastAsia="zh-CN"/>
        </w:rPr>
        <w:t>，</w:t>
      </w:r>
      <w:r>
        <w:rPr>
          <w:rFonts w:hint="eastAsia" w:ascii="Times New Roman" w:hAnsi="Times New Roman" w:eastAsia="方正仿宋_GBK" w:cs="Times New Roman"/>
          <w:sz w:val="28"/>
          <w:highlight w:val="none"/>
        </w:rPr>
        <w:t>根据法律或契约应由供货方、制造人、安装人或修理人</w:t>
      </w:r>
      <w:r>
        <w:rPr>
          <w:rFonts w:hint="eastAsia" w:ascii="Times New Roman" w:hAnsi="Times New Roman" w:eastAsia="方正仿宋_GBK" w:cs="Times New Roman"/>
          <w:sz w:val="28"/>
          <w:highlight w:val="none"/>
          <w:lang w:val="en-US" w:eastAsia="zh-CN"/>
        </w:rPr>
        <w:t>及其他第三方</w:t>
      </w:r>
      <w:r>
        <w:rPr>
          <w:rFonts w:hint="eastAsia" w:ascii="Times New Roman" w:hAnsi="Times New Roman" w:eastAsia="方正仿宋_GBK" w:cs="Times New Roman"/>
          <w:sz w:val="28"/>
          <w:highlight w:val="none"/>
        </w:rPr>
        <w:t>负责的保险标的损失，</w:t>
      </w:r>
      <w:r>
        <w:rPr>
          <w:rFonts w:hint="eastAsia" w:ascii="Times New Roman" w:hAnsi="Times New Roman" w:eastAsia="方正仿宋_GBK" w:cs="Times New Roman"/>
          <w:sz w:val="28"/>
          <w:highlight w:val="none"/>
          <w:lang w:val="en-US" w:eastAsia="zh-CN"/>
        </w:rPr>
        <w:t>保险人</w:t>
      </w:r>
      <w:r>
        <w:rPr>
          <w:rFonts w:hint="eastAsia" w:ascii="Times New Roman" w:hAnsi="Times New Roman" w:eastAsia="方正仿宋_GBK" w:cs="Times New Roman"/>
          <w:sz w:val="28"/>
          <w:highlight w:val="none"/>
        </w:rPr>
        <w:t>先行支付赔款</w:t>
      </w:r>
      <w:r>
        <w:rPr>
          <w:rFonts w:hint="eastAsia" w:ascii="Times New Roman" w:hAnsi="Times New Roman" w:eastAsia="方正仿宋_GBK" w:cs="Times New Roman"/>
          <w:sz w:val="28"/>
          <w:highlight w:val="none"/>
          <w:lang w:eastAsia="zh-CN"/>
        </w:rPr>
        <w:t>，</w:t>
      </w:r>
      <w:r>
        <w:rPr>
          <w:rFonts w:hint="eastAsia" w:ascii="Times New Roman" w:hAnsi="Times New Roman" w:eastAsia="方正仿宋_GBK" w:cs="Times New Roman"/>
          <w:sz w:val="28"/>
          <w:highlight w:val="none"/>
          <w:lang w:val="en-US" w:eastAsia="zh-CN"/>
        </w:rPr>
        <w:t>被保险人继续向第三者索赔，被保险人</w:t>
      </w:r>
      <w:r>
        <w:rPr>
          <w:rFonts w:hint="eastAsia" w:ascii="Times New Roman" w:hAnsi="Times New Roman" w:eastAsia="方正仿宋_GBK" w:cs="Times New Roman"/>
          <w:sz w:val="28"/>
          <w:highlight w:val="none"/>
        </w:rPr>
        <w:t>在收到赔款后，将相关追偿权益转让保险人</w:t>
      </w:r>
      <w:r>
        <w:rPr>
          <w:rFonts w:hint="eastAsia" w:ascii="Times New Roman" w:hAnsi="Times New Roman" w:eastAsia="方正仿宋_GBK" w:cs="Times New Roman"/>
          <w:sz w:val="28"/>
          <w:highlight w:val="none"/>
          <w:lang w:val="en-US" w:eastAsia="zh-CN"/>
        </w:rPr>
        <w:t>或被保险人积极配合保险人进行追偿工作</w:t>
      </w:r>
      <w:r>
        <w:rPr>
          <w:rFonts w:hint="eastAsia" w:ascii="Times New Roman" w:hAnsi="Times New Roman" w:eastAsia="方正仿宋_GBK" w:cs="Times New Roman"/>
          <w:sz w:val="28"/>
          <w:highlight w:val="none"/>
        </w:rPr>
        <w:t>。</w:t>
      </w:r>
    </w:p>
    <w:p w14:paraId="66C321AA">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textAlignment w:val="auto"/>
        <w:rPr>
          <w:rFonts w:hint="eastAsia" w:ascii="方正仿宋_GBK" w:hAnsi="方正仿宋_GBK" w:eastAsia="方正仿宋_GBK" w:cs="方正仿宋_GBK"/>
          <w:b/>
          <w:color w:val="000000"/>
          <w:sz w:val="28"/>
          <w:szCs w:val="28"/>
          <w:highlight w:val="none"/>
          <w:lang w:val="en-US" w:eastAsia="zh-CN"/>
        </w:rPr>
      </w:pPr>
      <w:r>
        <w:rPr>
          <w:rFonts w:hint="eastAsia" w:ascii="方正仿宋_GBK" w:hAnsi="方正仿宋_GBK" w:eastAsia="方正仿宋_GBK" w:cs="方正仿宋_GBK"/>
          <w:b/>
          <w:color w:val="000000"/>
          <w:sz w:val="28"/>
          <w:szCs w:val="28"/>
          <w:highlight w:val="none"/>
          <w:lang w:val="en-US" w:eastAsia="zh-CN"/>
        </w:rPr>
        <w:t>第二部分 安全生产责任险</w:t>
      </w:r>
    </w:p>
    <w:p w14:paraId="03EAA5F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仿宋_GBK" w:hAnsi="方正仿宋_GBK" w:eastAsia="方正仿宋_GBK" w:cs="方正仿宋_GBK"/>
          <w:b/>
          <w:bCs/>
          <w:color w:val="000000"/>
          <w:sz w:val="28"/>
          <w:szCs w:val="28"/>
          <w:highlight w:val="none"/>
          <w:lang w:eastAsia="zh-CN"/>
        </w:rPr>
      </w:pPr>
      <w:r>
        <w:rPr>
          <w:rFonts w:hint="eastAsia" w:ascii="方正仿宋_GBK" w:hAnsi="方正仿宋_GBK" w:eastAsia="方正仿宋_GBK" w:cs="方正仿宋_GBK"/>
          <w:b/>
          <w:bCs/>
          <w:color w:val="000000"/>
          <w:sz w:val="28"/>
          <w:szCs w:val="28"/>
          <w:highlight w:val="none"/>
          <w:lang w:eastAsia="zh-CN"/>
        </w:rPr>
        <w:t>【</w:t>
      </w:r>
      <w:r>
        <w:rPr>
          <w:rFonts w:hint="eastAsia" w:ascii="方正仿宋_GBK" w:hAnsi="方正仿宋_GBK" w:eastAsia="方正仿宋_GBK" w:cs="方正仿宋_GBK"/>
          <w:b/>
          <w:bCs/>
          <w:color w:val="000000"/>
          <w:sz w:val="28"/>
          <w:szCs w:val="28"/>
          <w:highlight w:val="none"/>
        </w:rPr>
        <w:t>保险责任</w:t>
      </w:r>
      <w:r>
        <w:rPr>
          <w:rFonts w:hint="eastAsia" w:ascii="方正仿宋_GBK" w:hAnsi="方正仿宋_GBK" w:eastAsia="方正仿宋_GBK" w:cs="方正仿宋_GBK"/>
          <w:b/>
          <w:bCs/>
          <w:color w:val="000000"/>
          <w:sz w:val="28"/>
          <w:szCs w:val="28"/>
          <w:highlight w:val="none"/>
          <w:lang w:eastAsia="zh-CN"/>
        </w:rPr>
        <w:t>】</w:t>
      </w:r>
    </w:p>
    <w:p w14:paraId="2F9F188A">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560" w:firstLineChars="200"/>
        <w:jc w:val="both"/>
        <w:textAlignment w:val="auto"/>
        <w:rPr>
          <w:rFonts w:hint="eastAsia" w:ascii="Times New Roman" w:hAnsi="Times New Roman" w:eastAsia="方正仿宋_GBK" w:cs="Times New Roman"/>
          <w:sz w:val="28"/>
          <w:highlight w:val="none"/>
          <w:lang w:val="en-US" w:eastAsia="zh-CN"/>
        </w:rPr>
      </w:pPr>
      <w:r>
        <w:rPr>
          <w:rFonts w:hint="eastAsia" w:ascii="Times New Roman" w:hAnsi="Times New Roman" w:eastAsia="方正仿宋_GBK" w:cs="Times New Roman"/>
          <w:b/>
          <w:bCs/>
          <w:sz w:val="28"/>
          <w:highlight w:val="none"/>
          <w:lang w:val="en-US" w:eastAsia="zh-CN"/>
        </w:rPr>
        <w:t>第五条</w:t>
      </w:r>
      <w:r>
        <w:rPr>
          <w:rFonts w:hint="eastAsia" w:ascii="Times New Roman" w:hAnsi="Times New Roman" w:eastAsia="方正仿宋_GBK" w:cs="Times New Roman"/>
          <w:sz w:val="28"/>
          <w:highlight w:val="none"/>
          <w:lang w:val="en-US" w:eastAsia="zh-CN"/>
        </w:rPr>
        <w:t xml:space="preserve"> 在保险期间内，被保险人在保险单载明的场所内从事生产、经营等活动过程中，因发生生产安全事故，导致从业人员人身伤亡，依照中华人民共和国法律应由被保险人承担的经济赔偿责任，保险人按照本保险合同的约定负责赔偿。</w:t>
      </w:r>
    </w:p>
    <w:p w14:paraId="52C6F59B">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560" w:firstLineChars="200"/>
        <w:jc w:val="both"/>
        <w:textAlignment w:val="auto"/>
        <w:rPr>
          <w:rFonts w:hint="eastAsia" w:ascii="Times New Roman" w:hAnsi="Times New Roman" w:eastAsia="方正仿宋_GBK" w:cs="Times New Roman"/>
          <w:sz w:val="28"/>
          <w:highlight w:val="none"/>
          <w:lang w:val="en-US" w:eastAsia="zh-CN"/>
        </w:rPr>
      </w:pPr>
      <w:r>
        <w:rPr>
          <w:rFonts w:hint="eastAsia" w:ascii="Times New Roman" w:hAnsi="Times New Roman" w:eastAsia="方正仿宋_GBK" w:cs="Times New Roman"/>
          <w:b/>
          <w:bCs/>
          <w:sz w:val="28"/>
          <w:highlight w:val="none"/>
          <w:lang w:val="en-US" w:eastAsia="zh-CN"/>
        </w:rPr>
        <w:t>第六条</w:t>
      </w:r>
      <w:r>
        <w:rPr>
          <w:rFonts w:hint="eastAsia" w:ascii="Times New Roman" w:hAnsi="Times New Roman" w:eastAsia="方正仿宋_GBK" w:cs="Times New Roman"/>
          <w:sz w:val="28"/>
          <w:highlight w:val="none"/>
          <w:lang w:val="en-US" w:eastAsia="zh-CN"/>
        </w:rPr>
        <w:t xml:space="preserve"> 在保险期间内，被保险人在保险单载明的场所内依法从事生产、经营等活动过程中，因发生生产安全事故，造成第三者的人身伤亡的损失，依照中华人民共和国法律应由被保险人承担的经济赔偿责任，保险人按照本保险合同的约定负责赔偿。</w:t>
      </w:r>
    </w:p>
    <w:p w14:paraId="6A0F4B66">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560" w:firstLineChars="200"/>
        <w:jc w:val="both"/>
        <w:textAlignment w:val="auto"/>
        <w:rPr>
          <w:rFonts w:hint="eastAsia" w:ascii="Times New Roman" w:hAnsi="Times New Roman" w:eastAsia="方正仿宋_GBK" w:cs="Times New Roman"/>
          <w:sz w:val="28"/>
          <w:highlight w:val="none"/>
          <w:lang w:val="en-US" w:eastAsia="zh-CN"/>
        </w:rPr>
      </w:pPr>
      <w:r>
        <w:rPr>
          <w:rFonts w:hint="eastAsia" w:ascii="Times New Roman" w:hAnsi="Times New Roman" w:eastAsia="方正仿宋_GBK" w:cs="Times New Roman"/>
          <w:b/>
          <w:bCs/>
          <w:sz w:val="28"/>
          <w:highlight w:val="none"/>
          <w:lang w:val="en-US" w:eastAsia="zh-CN"/>
        </w:rPr>
        <w:t>第七条</w:t>
      </w:r>
      <w:r>
        <w:rPr>
          <w:rFonts w:hint="eastAsia" w:ascii="Times New Roman" w:hAnsi="Times New Roman" w:eastAsia="方正仿宋_GBK" w:cs="Times New Roman"/>
          <w:sz w:val="28"/>
          <w:highlight w:val="none"/>
          <w:lang w:val="en-US" w:eastAsia="zh-CN"/>
        </w:rPr>
        <w:t xml:space="preserve"> 事故发生后，被保险人因保险事故而被提起仲裁或者诉讼的，对应由被保险人支付的仲裁或诉讼费用以及事先经保险人书面同意支付的其它必要的、合理的费用，保险人按照本保险合同约定也负责赔偿。</w:t>
      </w:r>
    </w:p>
    <w:p w14:paraId="408D2CE0">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560" w:firstLineChars="200"/>
        <w:jc w:val="both"/>
        <w:textAlignment w:val="auto"/>
        <w:rPr>
          <w:rFonts w:hint="eastAsia" w:ascii="Times New Roman" w:hAnsi="Times New Roman" w:eastAsia="方正仿宋_GBK" w:cs="Times New Roman"/>
          <w:b/>
          <w:bCs/>
          <w:sz w:val="28"/>
          <w:highlight w:val="none"/>
        </w:rPr>
      </w:pPr>
      <w:r>
        <w:rPr>
          <w:rFonts w:hint="eastAsia" w:ascii="Times New Roman" w:hAnsi="Times New Roman" w:eastAsia="方正仿宋_GBK" w:cs="Times New Roman"/>
          <w:b/>
          <w:bCs/>
          <w:sz w:val="28"/>
          <w:highlight w:val="none"/>
          <w:lang w:val="en-US" w:eastAsia="zh-CN"/>
        </w:rPr>
        <w:t>第八条</w:t>
      </w:r>
      <w:r>
        <w:rPr>
          <w:rFonts w:hint="eastAsia" w:ascii="Times New Roman" w:hAnsi="Times New Roman" w:eastAsia="方正仿宋_GBK" w:cs="Times New Roman"/>
          <w:sz w:val="28"/>
          <w:highlight w:val="none"/>
          <w:lang w:val="en-US" w:eastAsia="zh-CN"/>
        </w:rPr>
        <w:t xml:space="preserve"> </w:t>
      </w:r>
      <w:r>
        <w:rPr>
          <w:rFonts w:hint="eastAsia" w:ascii="Times New Roman" w:hAnsi="Times New Roman" w:eastAsia="方正仿宋_GBK" w:cs="Times New Roman"/>
          <w:sz w:val="28"/>
          <w:highlight w:val="none"/>
        </w:rPr>
        <w:t>事故发生时，为抢救受伤、被困人员或者避免人员伤亡，采取事故抢险救援措施而支出的必要、合理的费用</w:t>
      </w:r>
      <w:r>
        <w:rPr>
          <w:rFonts w:hint="eastAsia" w:ascii="Times New Roman" w:hAnsi="Times New Roman" w:eastAsia="方正仿宋_GBK" w:cs="Times New Roman"/>
          <w:sz w:val="28"/>
          <w:highlight w:val="none"/>
          <w:lang w:val="en-US" w:eastAsia="zh-CN"/>
        </w:rPr>
        <w:t>以及</w:t>
      </w:r>
      <w:r>
        <w:rPr>
          <w:rFonts w:hint="eastAsia" w:ascii="Times New Roman" w:hAnsi="Times New Roman" w:eastAsia="方正仿宋_GBK" w:cs="Times New Roman"/>
          <w:sz w:val="28"/>
          <w:highlight w:val="none"/>
        </w:rPr>
        <w:t>被支出的必要、合理的事故鉴定费用</w:t>
      </w:r>
      <w:r>
        <w:rPr>
          <w:rFonts w:hint="eastAsia" w:ascii="Times New Roman" w:hAnsi="Times New Roman" w:eastAsia="方正仿宋_GBK" w:cs="Times New Roman"/>
          <w:sz w:val="28"/>
          <w:highlight w:val="none"/>
          <w:lang w:eastAsia="zh-CN"/>
        </w:rPr>
        <w:t>，</w:t>
      </w:r>
      <w:r>
        <w:rPr>
          <w:rFonts w:hint="eastAsia" w:ascii="Times New Roman" w:hAnsi="Times New Roman" w:eastAsia="方正仿宋_GBK" w:cs="Times New Roman"/>
          <w:sz w:val="28"/>
          <w:highlight w:val="none"/>
          <w:lang w:val="en-US" w:eastAsia="zh-CN"/>
        </w:rPr>
        <w:t>保险人按照本保险合同约定也负责赔偿</w:t>
      </w:r>
      <w:r>
        <w:rPr>
          <w:rFonts w:hint="eastAsia" w:ascii="Times New Roman" w:hAnsi="Times New Roman" w:eastAsia="方正仿宋_GBK" w:cs="Times New Roman"/>
          <w:sz w:val="28"/>
          <w:highlight w:val="none"/>
          <w:lang w:eastAsia="zh-CN"/>
        </w:rPr>
        <w:t>。</w:t>
      </w:r>
    </w:p>
    <w:p w14:paraId="057B8FD1">
      <w:pPr>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textAlignment w:val="auto"/>
        <w:rPr>
          <w:rFonts w:hint="eastAsia" w:ascii="方正仿宋_GBK" w:hAnsi="方正仿宋_GBK" w:eastAsia="方正仿宋_GBK" w:cs="方正仿宋_GBK"/>
          <w:b/>
          <w:bCs/>
          <w:color w:val="000000"/>
          <w:sz w:val="28"/>
          <w:szCs w:val="28"/>
          <w:highlight w:val="none"/>
          <w:lang w:eastAsia="zh-CN"/>
        </w:rPr>
      </w:pPr>
      <w:r>
        <w:rPr>
          <w:rFonts w:hint="eastAsia" w:ascii="方正仿宋_GBK" w:hAnsi="方正仿宋_GBK" w:eastAsia="方正仿宋_GBK" w:cs="方正仿宋_GBK"/>
          <w:b/>
          <w:bCs/>
          <w:color w:val="000000"/>
          <w:sz w:val="28"/>
          <w:szCs w:val="28"/>
          <w:highlight w:val="none"/>
          <w:lang w:val="en-US" w:eastAsia="zh-CN"/>
        </w:rPr>
        <w:t>【附加险条款及</w:t>
      </w:r>
      <w:r>
        <w:rPr>
          <w:rFonts w:hint="eastAsia" w:ascii="方正仿宋_GBK" w:hAnsi="方正仿宋_GBK" w:eastAsia="方正仿宋_GBK" w:cs="方正仿宋_GBK"/>
          <w:b/>
          <w:bCs/>
          <w:color w:val="000000"/>
          <w:sz w:val="28"/>
          <w:szCs w:val="28"/>
          <w:highlight w:val="none"/>
        </w:rPr>
        <w:t>特别约定</w:t>
      </w:r>
      <w:r>
        <w:rPr>
          <w:rFonts w:hint="eastAsia" w:ascii="方正仿宋_GBK" w:hAnsi="方正仿宋_GBK" w:eastAsia="方正仿宋_GBK" w:cs="方正仿宋_GBK"/>
          <w:b/>
          <w:bCs/>
          <w:color w:val="000000"/>
          <w:sz w:val="28"/>
          <w:szCs w:val="28"/>
          <w:highlight w:val="none"/>
          <w:lang w:eastAsia="zh-CN"/>
        </w:rPr>
        <w:t>】</w:t>
      </w:r>
    </w:p>
    <w:p w14:paraId="0C87B158">
      <w:pPr>
        <w:keepNext w:val="0"/>
        <w:keepLines w:val="0"/>
        <w:pageBreakBefore w:val="0"/>
        <w:widowControl w:val="0"/>
        <w:numPr>
          <w:ilvl w:val="0"/>
          <w:numId w:val="4"/>
        </w:numPr>
        <w:kinsoku/>
        <w:wordWrap/>
        <w:overflowPunct/>
        <w:topLinePunct w:val="0"/>
        <w:autoSpaceDE/>
        <w:autoSpaceDN/>
        <w:bidi w:val="0"/>
        <w:adjustRightInd/>
        <w:snapToGrid/>
        <w:spacing w:line="440" w:lineRule="exact"/>
        <w:ind w:left="0" w:leftChars="0" w:firstLine="560" w:firstLineChars="0"/>
        <w:textAlignment w:val="auto"/>
        <w:rPr>
          <w:rFonts w:hint="eastAsia" w:ascii="Times New Roman" w:hAnsi="Times New Roman" w:eastAsia="方正仿宋_GBK" w:cs="Times New Roman"/>
          <w:sz w:val="28"/>
          <w:highlight w:val="none"/>
        </w:rPr>
      </w:pPr>
      <w:r>
        <w:rPr>
          <w:rFonts w:hint="eastAsia" w:ascii="Times New Roman" w:hAnsi="Times New Roman" w:eastAsia="方正仿宋_GBK" w:cs="Times New Roman"/>
          <w:sz w:val="28"/>
          <w:highlight w:val="none"/>
        </w:rPr>
        <w:t>经法院判决应由</w:t>
      </w:r>
      <w:r>
        <w:rPr>
          <w:rFonts w:hint="eastAsia" w:eastAsia="方正仿宋_GBK" w:cs="Times New Roman"/>
          <w:sz w:val="28"/>
          <w:highlight w:val="none"/>
          <w:lang w:eastAsia="zh-CN"/>
        </w:rPr>
        <w:t>被保险人</w:t>
      </w:r>
      <w:r>
        <w:rPr>
          <w:rFonts w:hint="eastAsia" w:ascii="Times New Roman" w:hAnsi="Times New Roman" w:eastAsia="方正仿宋_GBK" w:cs="Times New Roman"/>
          <w:sz w:val="28"/>
          <w:highlight w:val="none"/>
        </w:rPr>
        <w:t>承担的精神损害赔偿责任，</w:t>
      </w:r>
      <w:r>
        <w:rPr>
          <w:rFonts w:hint="eastAsia" w:eastAsia="方正仿宋_GBK" w:cs="Times New Roman"/>
          <w:sz w:val="28"/>
          <w:highlight w:val="none"/>
          <w:lang w:eastAsia="zh-CN"/>
        </w:rPr>
        <w:t>保险人</w:t>
      </w:r>
      <w:r>
        <w:rPr>
          <w:rFonts w:hint="eastAsia" w:ascii="Times New Roman" w:hAnsi="Times New Roman" w:eastAsia="方正仿宋_GBK" w:cs="Times New Roman"/>
          <w:sz w:val="28"/>
          <w:highlight w:val="none"/>
        </w:rPr>
        <w:t>负责赔偿。</w:t>
      </w:r>
    </w:p>
    <w:p w14:paraId="37641B65">
      <w:pPr>
        <w:keepNext w:val="0"/>
        <w:keepLines w:val="0"/>
        <w:pageBreakBefore w:val="0"/>
        <w:widowControl w:val="0"/>
        <w:numPr>
          <w:ilvl w:val="0"/>
          <w:numId w:val="4"/>
        </w:numPr>
        <w:kinsoku/>
        <w:wordWrap/>
        <w:overflowPunct/>
        <w:topLinePunct w:val="0"/>
        <w:autoSpaceDE/>
        <w:autoSpaceDN/>
        <w:bidi w:val="0"/>
        <w:adjustRightInd/>
        <w:snapToGrid/>
        <w:spacing w:line="440" w:lineRule="exact"/>
        <w:ind w:left="0" w:leftChars="0" w:firstLine="560" w:firstLineChars="0"/>
        <w:textAlignment w:val="auto"/>
        <w:rPr>
          <w:rFonts w:hint="eastAsia" w:ascii="Times New Roman" w:hAnsi="Times New Roman" w:eastAsia="方正仿宋_GBK" w:cs="Times New Roman"/>
          <w:sz w:val="28"/>
          <w:highlight w:val="none"/>
        </w:rPr>
      </w:pPr>
      <w:r>
        <w:rPr>
          <w:rFonts w:hint="eastAsia" w:ascii="Times New Roman" w:hAnsi="Times New Roman" w:eastAsia="方正仿宋_GBK" w:cs="Times New Roman"/>
          <w:sz w:val="28"/>
          <w:highlight w:val="none"/>
        </w:rPr>
        <w:t>本保险扩展承保区域内</w:t>
      </w:r>
      <w:r>
        <w:rPr>
          <w:rFonts w:hint="eastAsia" w:ascii="Times New Roman" w:hAnsi="Times New Roman" w:eastAsia="方正仿宋_GBK" w:cs="Times New Roman"/>
          <w:sz w:val="28"/>
          <w:highlight w:val="none"/>
          <w:lang w:val="en-US" w:eastAsia="zh-CN"/>
        </w:rPr>
        <w:t>因发生保险事故</w:t>
      </w:r>
      <w:r>
        <w:rPr>
          <w:rFonts w:hint="eastAsia" w:ascii="Times New Roman" w:hAnsi="Times New Roman" w:eastAsia="方正仿宋_GBK" w:cs="Times New Roman"/>
          <w:sz w:val="28"/>
          <w:highlight w:val="none"/>
        </w:rPr>
        <w:t>导致第三者遭受人身损害或财产损失依法应由</w:t>
      </w:r>
      <w:r>
        <w:rPr>
          <w:rFonts w:hint="eastAsia" w:eastAsia="方正仿宋_GBK" w:cs="Times New Roman"/>
          <w:sz w:val="28"/>
          <w:highlight w:val="none"/>
          <w:lang w:eastAsia="zh-CN"/>
        </w:rPr>
        <w:t>被保险人</w:t>
      </w:r>
      <w:r>
        <w:rPr>
          <w:rFonts w:hint="eastAsia" w:ascii="Times New Roman" w:hAnsi="Times New Roman" w:eastAsia="方正仿宋_GBK" w:cs="Times New Roman"/>
          <w:sz w:val="28"/>
          <w:highlight w:val="none"/>
        </w:rPr>
        <w:t>承担的经济赔偿责任。</w:t>
      </w:r>
    </w:p>
    <w:p w14:paraId="42AB12F5">
      <w:pPr>
        <w:keepNext w:val="0"/>
        <w:keepLines w:val="0"/>
        <w:pageBreakBefore w:val="0"/>
        <w:widowControl w:val="0"/>
        <w:numPr>
          <w:ilvl w:val="0"/>
          <w:numId w:val="4"/>
        </w:numPr>
        <w:kinsoku/>
        <w:wordWrap/>
        <w:overflowPunct/>
        <w:topLinePunct w:val="0"/>
        <w:autoSpaceDE/>
        <w:autoSpaceDN/>
        <w:bidi w:val="0"/>
        <w:adjustRightInd/>
        <w:snapToGrid/>
        <w:spacing w:line="440" w:lineRule="exact"/>
        <w:ind w:left="0" w:leftChars="0" w:firstLine="560" w:firstLineChars="0"/>
        <w:textAlignment w:val="auto"/>
        <w:rPr>
          <w:rFonts w:hint="eastAsia" w:ascii="Times New Roman" w:hAnsi="Times New Roman" w:eastAsia="方正仿宋_GBK" w:cs="Times New Roman"/>
          <w:sz w:val="28"/>
          <w:highlight w:val="none"/>
        </w:rPr>
      </w:pPr>
      <w:r>
        <w:rPr>
          <w:rFonts w:hint="eastAsia" w:ascii="Times New Roman" w:hAnsi="Times New Roman" w:eastAsia="方正仿宋_GBK" w:cs="Times New Roman"/>
          <w:sz w:val="28"/>
          <w:highlight w:val="none"/>
        </w:rPr>
        <w:t>本保险将作业货物和</w:t>
      </w:r>
      <w:r>
        <w:rPr>
          <w:rFonts w:hint="eastAsia" w:eastAsia="方正仿宋_GBK" w:cs="Times New Roman"/>
          <w:sz w:val="28"/>
          <w:highlight w:val="none"/>
          <w:lang w:eastAsia="zh-CN"/>
        </w:rPr>
        <w:t>被保险人</w:t>
      </w:r>
      <w:r>
        <w:rPr>
          <w:rFonts w:hint="eastAsia" w:ascii="Times New Roman" w:hAnsi="Times New Roman" w:eastAsia="方正仿宋_GBK" w:cs="Times New Roman"/>
          <w:sz w:val="28"/>
          <w:highlight w:val="none"/>
        </w:rPr>
        <w:t>以外的第三者所有或控制的作业船舶视同为第三者财产，</w:t>
      </w:r>
      <w:r>
        <w:rPr>
          <w:rFonts w:hint="eastAsia" w:eastAsia="方正仿宋_GBK" w:cs="Times New Roman"/>
          <w:sz w:val="28"/>
          <w:highlight w:val="none"/>
          <w:lang w:eastAsia="zh-CN"/>
        </w:rPr>
        <w:t>保险人</w:t>
      </w:r>
      <w:r>
        <w:rPr>
          <w:rFonts w:hint="eastAsia" w:ascii="Times New Roman" w:hAnsi="Times New Roman" w:eastAsia="方正仿宋_GBK" w:cs="Times New Roman"/>
          <w:sz w:val="28"/>
          <w:highlight w:val="none"/>
        </w:rPr>
        <w:t>负责赔偿。</w:t>
      </w:r>
    </w:p>
    <w:p w14:paraId="6E38C5C7">
      <w:pPr>
        <w:keepNext w:val="0"/>
        <w:keepLines w:val="0"/>
        <w:pageBreakBefore w:val="0"/>
        <w:widowControl w:val="0"/>
        <w:numPr>
          <w:ilvl w:val="0"/>
          <w:numId w:val="4"/>
        </w:numPr>
        <w:kinsoku/>
        <w:wordWrap/>
        <w:overflowPunct/>
        <w:topLinePunct w:val="0"/>
        <w:autoSpaceDE/>
        <w:autoSpaceDN/>
        <w:bidi w:val="0"/>
        <w:adjustRightInd/>
        <w:snapToGrid/>
        <w:spacing w:line="440" w:lineRule="exact"/>
        <w:ind w:left="0" w:leftChars="0" w:firstLine="560" w:firstLineChars="0"/>
        <w:textAlignment w:val="auto"/>
        <w:rPr>
          <w:rFonts w:hint="eastAsia" w:ascii="Times New Roman" w:hAnsi="Times New Roman" w:eastAsia="方正仿宋_GBK" w:cs="Times New Roman"/>
          <w:sz w:val="28"/>
          <w:highlight w:val="none"/>
        </w:rPr>
      </w:pPr>
      <w:r>
        <w:rPr>
          <w:rFonts w:hint="eastAsia" w:ascii="Times New Roman" w:hAnsi="Times New Roman" w:eastAsia="方正仿宋_GBK" w:cs="Times New Roman"/>
          <w:sz w:val="28"/>
          <w:highlight w:val="none"/>
          <w:lang w:val="en-US" w:eastAsia="zh-CN"/>
        </w:rPr>
        <w:t>保险事故发生后，因从业人员或第三者人员救治</w:t>
      </w:r>
      <w:r>
        <w:rPr>
          <w:rFonts w:hint="eastAsia" w:ascii="Times New Roman" w:hAnsi="Times New Roman" w:eastAsia="方正仿宋_GBK" w:cs="Times New Roman"/>
          <w:sz w:val="28"/>
          <w:highlight w:val="none"/>
        </w:rPr>
        <w:t>应由</w:t>
      </w:r>
      <w:r>
        <w:rPr>
          <w:rFonts w:hint="eastAsia" w:eastAsia="方正仿宋_GBK" w:cs="Times New Roman"/>
          <w:sz w:val="28"/>
          <w:highlight w:val="none"/>
          <w:lang w:eastAsia="zh-CN"/>
        </w:rPr>
        <w:t>被保险人</w:t>
      </w:r>
      <w:r>
        <w:rPr>
          <w:rFonts w:hint="eastAsia" w:ascii="Times New Roman" w:hAnsi="Times New Roman" w:eastAsia="方正仿宋_GBK" w:cs="Times New Roman"/>
          <w:sz w:val="28"/>
          <w:highlight w:val="none"/>
        </w:rPr>
        <w:t>承担的</w:t>
      </w:r>
      <w:r>
        <w:rPr>
          <w:rFonts w:hint="eastAsia" w:ascii="Times New Roman" w:hAnsi="Times New Roman" w:eastAsia="方正仿宋_GBK" w:cs="Times New Roman"/>
          <w:sz w:val="28"/>
          <w:highlight w:val="none"/>
          <w:lang w:val="en-US" w:eastAsia="zh-CN"/>
        </w:rPr>
        <w:t>医疗费用，保险人负责赔偿。</w:t>
      </w:r>
    </w:p>
    <w:p w14:paraId="118BDE63">
      <w:pPr>
        <w:keepNext w:val="0"/>
        <w:keepLines w:val="0"/>
        <w:pageBreakBefore w:val="0"/>
        <w:widowControl w:val="0"/>
        <w:numPr>
          <w:ilvl w:val="0"/>
          <w:numId w:val="4"/>
        </w:numPr>
        <w:kinsoku/>
        <w:wordWrap/>
        <w:overflowPunct/>
        <w:topLinePunct w:val="0"/>
        <w:autoSpaceDE/>
        <w:autoSpaceDN/>
        <w:bidi w:val="0"/>
        <w:adjustRightInd/>
        <w:snapToGrid/>
        <w:spacing w:line="440" w:lineRule="exact"/>
        <w:ind w:left="0" w:leftChars="0" w:firstLine="560" w:firstLineChars="0"/>
        <w:textAlignment w:val="auto"/>
        <w:rPr>
          <w:rFonts w:hint="default" w:ascii="Times New Roman" w:hAnsi="Times New Roman" w:eastAsia="方正仿宋_GBK" w:cs="Times New Roman"/>
          <w:sz w:val="28"/>
          <w:highlight w:val="none"/>
          <w:lang w:val="en-US" w:eastAsia="zh-CN"/>
        </w:rPr>
      </w:pPr>
      <w:r>
        <w:rPr>
          <w:rFonts w:hint="eastAsia" w:eastAsia="方正仿宋_GBK" w:cs="Times New Roman"/>
          <w:sz w:val="28"/>
          <w:highlight w:val="none"/>
          <w:lang w:val="en-US" w:eastAsia="zh-CN"/>
        </w:rPr>
        <w:t>被保险人的业务承包商</w:t>
      </w:r>
      <w:r>
        <w:rPr>
          <w:rFonts w:hint="eastAsia" w:ascii="Times New Roman" w:hAnsi="Times New Roman" w:eastAsia="方正仿宋_GBK" w:cs="Times New Roman"/>
          <w:sz w:val="28"/>
          <w:highlight w:val="none"/>
          <w:lang w:val="en-US" w:eastAsia="zh-CN"/>
        </w:rPr>
        <w:t>在被保险人投保区域范围内依法从事被保险人委托的生产、经营等活动过程中，因发生生产安全事故造成的第三者人身伤亡或财产损失，保险人负责赔偿，保险人持有对业务承包商的代位追偿，被保险人积极配合保险人的追偿工作。</w:t>
      </w:r>
    </w:p>
    <w:p w14:paraId="5F5C7F7E">
      <w:pPr>
        <w:keepNext w:val="0"/>
        <w:keepLines w:val="0"/>
        <w:pageBreakBefore w:val="0"/>
        <w:widowControl w:val="0"/>
        <w:numPr>
          <w:ilvl w:val="0"/>
          <w:numId w:val="4"/>
        </w:numPr>
        <w:kinsoku/>
        <w:wordWrap/>
        <w:overflowPunct/>
        <w:topLinePunct w:val="0"/>
        <w:autoSpaceDE/>
        <w:autoSpaceDN/>
        <w:bidi w:val="0"/>
        <w:adjustRightInd/>
        <w:snapToGrid/>
        <w:spacing w:line="440" w:lineRule="exact"/>
        <w:ind w:left="0" w:leftChars="0" w:firstLine="560" w:firstLineChars="0"/>
        <w:textAlignment w:val="auto"/>
        <w:rPr>
          <w:rFonts w:hint="eastAsia" w:ascii="Times New Roman" w:hAnsi="Times New Roman" w:eastAsia="方正仿宋_GBK" w:cs="Times New Roman"/>
          <w:sz w:val="28"/>
          <w:highlight w:val="none"/>
        </w:rPr>
      </w:pPr>
      <w:r>
        <w:rPr>
          <w:rFonts w:hint="eastAsia" w:ascii="Times New Roman" w:hAnsi="Times New Roman" w:eastAsia="方正仿宋_GBK" w:cs="Times New Roman"/>
          <w:sz w:val="28"/>
          <w:highlight w:val="none"/>
          <w:lang w:val="en-US" w:eastAsia="zh-CN"/>
        </w:rPr>
        <w:t>在被保险人投保区域范围内活动的所有生产、运输车辆及其他机械设备在从事被保险人生产、经营等活动过程中，因发生生产安全事故造成第三者人身伤亡或财产损失的，保险人负责赔偿，其中非被保险人自有车辆和机械设备造成的损失，保险人持有追偿权利，被保险人积极配合保险人的追偿工作。</w:t>
      </w:r>
    </w:p>
    <w:p w14:paraId="78385E5B">
      <w:pPr>
        <w:keepNext w:val="0"/>
        <w:keepLines w:val="0"/>
        <w:pageBreakBefore w:val="0"/>
        <w:widowControl w:val="0"/>
        <w:numPr>
          <w:ilvl w:val="0"/>
          <w:numId w:val="4"/>
        </w:numPr>
        <w:kinsoku/>
        <w:wordWrap/>
        <w:overflowPunct/>
        <w:topLinePunct w:val="0"/>
        <w:autoSpaceDE/>
        <w:autoSpaceDN/>
        <w:bidi w:val="0"/>
        <w:adjustRightInd/>
        <w:snapToGrid/>
        <w:spacing w:line="440" w:lineRule="exact"/>
        <w:ind w:left="0" w:leftChars="0" w:firstLine="560" w:firstLineChars="0"/>
        <w:textAlignment w:val="auto"/>
        <w:rPr>
          <w:rFonts w:hint="eastAsia" w:ascii="Times New Roman" w:hAnsi="Times New Roman" w:eastAsia="方正仿宋_GBK" w:cs="Times New Roman"/>
          <w:strike w:val="0"/>
          <w:sz w:val="28"/>
          <w:highlight w:val="none"/>
        </w:rPr>
      </w:pPr>
      <w:r>
        <w:rPr>
          <w:rFonts w:hint="eastAsia" w:ascii="Times New Roman" w:hAnsi="Times New Roman" w:eastAsia="方正仿宋_GBK" w:cs="Times New Roman"/>
          <w:sz w:val="28"/>
          <w:highlight w:val="none"/>
        </w:rPr>
        <w:t>经双方同意</w:t>
      </w:r>
      <w:r>
        <w:rPr>
          <w:rFonts w:hint="eastAsia" w:ascii="Times New Roman" w:hAnsi="Times New Roman" w:eastAsia="方正仿宋_GBK" w:cs="Times New Roman"/>
          <w:sz w:val="28"/>
          <w:highlight w:val="none"/>
          <w:lang w:eastAsia="zh-CN"/>
        </w:rPr>
        <w:t>，</w:t>
      </w:r>
      <w:r>
        <w:rPr>
          <w:rFonts w:hint="eastAsia" w:ascii="Times New Roman" w:hAnsi="Times New Roman" w:eastAsia="方正仿宋_GBK" w:cs="Times New Roman"/>
          <w:strike w:val="0"/>
          <w:dstrike w:val="0"/>
          <w:sz w:val="28"/>
          <w:highlight w:val="none"/>
        </w:rPr>
        <w:t>本保险扩展承保本保险单明细表中列明地点范围内因火灾或爆炸造成第三者人身伤亡或财产损失时依法应由被保险人承担的经济赔偿责任。</w:t>
      </w:r>
    </w:p>
    <w:p w14:paraId="14196632">
      <w:pPr>
        <w:keepNext w:val="0"/>
        <w:keepLines w:val="0"/>
        <w:pageBreakBefore w:val="0"/>
        <w:widowControl w:val="0"/>
        <w:numPr>
          <w:ilvl w:val="0"/>
          <w:numId w:val="4"/>
        </w:numPr>
        <w:kinsoku/>
        <w:wordWrap/>
        <w:overflowPunct/>
        <w:topLinePunct w:val="0"/>
        <w:autoSpaceDE/>
        <w:autoSpaceDN/>
        <w:bidi w:val="0"/>
        <w:adjustRightInd/>
        <w:snapToGrid/>
        <w:spacing w:line="440" w:lineRule="exact"/>
        <w:ind w:left="0" w:leftChars="0" w:firstLine="560" w:firstLineChars="0"/>
        <w:textAlignment w:val="auto"/>
        <w:rPr>
          <w:rFonts w:hint="eastAsia" w:ascii="Times New Roman" w:hAnsi="Times New Roman" w:eastAsia="方正仿宋_GBK" w:cs="Times New Roman"/>
          <w:sz w:val="28"/>
          <w:highlight w:val="none"/>
        </w:rPr>
      </w:pPr>
      <w:r>
        <w:rPr>
          <w:rFonts w:hint="eastAsia" w:eastAsia="方正仿宋_GBK" w:cs="Times New Roman"/>
          <w:sz w:val="28"/>
          <w:highlight w:val="none"/>
          <w:lang w:eastAsia="zh-CN"/>
        </w:rPr>
        <w:t>被保险人</w:t>
      </w:r>
      <w:r>
        <w:rPr>
          <w:rFonts w:hint="eastAsia" w:ascii="Times New Roman" w:hAnsi="Times New Roman" w:eastAsia="方正仿宋_GBK" w:cs="Times New Roman"/>
          <w:sz w:val="28"/>
          <w:highlight w:val="none"/>
        </w:rPr>
        <w:t>的从业人员在保险期间进行变动，增加的人员自动列入本保单的保障范围，保险期满后，</w:t>
      </w:r>
      <w:r>
        <w:rPr>
          <w:rFonts w:hint="eastAsia" w:eastAsia="方正仿宋_GBK" w:cs="Times New Roman"/>
          <w:sz w:val="28"/>
          <w:highlight w:val="none"/>
          <w:lang w:eastAsia="zh-CN"/>
        </w:rPr>
        <w:t>被保险人</w:t>
      </w:r>
      <w:r>
        <w:rPr>
          <w:rFonts w:hint="eastAsia" w:ascii="Times New Roman" w:hAnsi="Times New Roman" w:eastAsia="方正仿宋_GBK" w:cs="Times New Roman"/>
          <w:sz w:val="28"/>
          <w:highlight w:val="none"/>
        </w:rPr>
        <w:t>应向</w:t>
      </w:r>
      <w:r>
        <w:rPr>
          <w:rFonts w:hint="eastAsia" w:eastAsia="方正仿宋_GBK" w:cs="Times New Roman"/>
          <w:sz w:val="28"/>
          <w:highlight w:val="none"/>
          <w:lang w:eastAsia="zh-CN"/>
        </w:rPr>
        <w:t>保险人</w:t>
      </w:r>
      <w:r>
        <w:rPr>
          <w:rFonts w:hint="eastAsia" w:ascii="Times New Roman" w:hAnsi="Times New Roman" w:eastAsia="方正仿宋_GBK" w:cs="Times New Roman"/>
          <w:sz w:val="28"/>
          <w:highlight w:val="none"/>
        </w:rPr>
        <w:t>告知实际从业人员人数，如累计增减人数超出总投保人数的10%时，对超出部分按照超出人数乘以每人年保险费的50%调整保费。出险时，本公司将以</w:t>
      </w:r>
      <w:r>
        <w:rPr>
          <w:rFonts w:hint="eastAsia" w:eastAsia="方正仿宋_GBK" w:cs="Times New Roman"/>
          <w:sz w:val="28"/>
          <w:highlight w:val="none"/>
          <w:lang w:eastAsia="zh-CN"/>
        </w:rPr>
        <w:t>被保险人</w:t>
      </w:r>
      <w:r>
        <w:rPr>
          <w:rFonts w:hint="eastAsia" w:ascii="Times New Roman" w:hAnsi="Times New Roman" w:eastAsia="方正仿宋_GBK" w:cs="Times New Roman"/>
          <w:sz w:val="28"/>
          <w:highlight w:val="none"/>
        </w:rPr>
        <w:t>提供的所有在岗或在册雇从业人员名单为准进行理赔处理。</w:t>
      </w:r>
    </w:p>
    <w:p w14:paraId="4F3230DC">
      <w:pPr>
        <w:keepNext w:val="0"/>
        <w:keepLines w:val="0"/>
        <w:pageBreakBefore w:val="0"/>
        <w:widowControl w:val="0"/>
        <w:numPr>
          <w:ilvl w:val="0"/>
          <w:numId w:val="4"/>
        </w:numPr>
        <w:kinsoku/>
        <w:wordWrap/>
        <w:overflowPunct/>
        <w:topLinePunct w:val="0"/>
        <w:autoSpaceDE/>
        <w:autoSpaceDN/>
        <w:bidi w:val="0"/>
        <w:adjustRightInd/>
        <w:snapToGrid/>
        <w:spacing w:line="440" w:lineRule="exact"/>
        <w:ind w:left="0" w:leftChars="0" w:firstLine="560" w:firstLineChars="0"/>
        <w:textAlignment w:val="auto"/>
        <w:rPr>
          <w:rFonts w:hint="eastAsia" w:ascii="Times New Roman" w:hAnsi="Times New Roman" w:eastAsia="方正仿宋_GBK" w:cs="Times New Roman"/>
          <w:sz w:val="28"/>
          <w:highlight w:val="none"/>
        </w:rPr>
      </w:pPr>
      <w:r>
        <w:rPr>
          <w:rFonts w:hint="eastAsia" w:ascii="Times New Roman" w:hAnsi="Times New Roman" w:eastAsia="方正仿宋_GBK" w:cs="Times New Roman"/>
          <w:sz w:val="28"/>
          <w:highlight w:val="none"/>
        </w:rPr>
        <w:t>本保险扩展承保雇员因包括职业病导致的死亡、伤残，应由雇主承担的经济赔偿责任，</w:t>
      </w:r>
      <w:r>
        <w:rPr>
          <w:rFonts w:hint="eastAsia" w:eastAsia="方正仿宋_GBK" w:cs="Times New Roman"/>
          <w:sz w:val="28"/>
          <w:highlight w:val="none"/>
          <w:lang w:eastAsia="zh-CN"/>
        </w:rPr>
        <w:t>保险人</w:t>
      </w:r>
      <w:r>
        <w:rPr>
          <w:rFonts w:hint="eastAsia" w:ascii="Times New Roman" w:hAnsi="Times New Roman" w:eastAsia="方正仿宋_GBK" w:cs="Times New Roman"/>
          <w:sz w:val="28"/>
          <w:highlight w:val="none"/>
        </w:rPr>
        <w:t>负责赔偿。</w:t>
      </w:r>
    </w:p>
    <w:p w14:paraId="57FB6C95">
      <w:pPr>
        <w:keepNext w:val="0"/>
        <w:keepLines w:val="0"/>
        <w:pageBreakBefore w:val="0"/>
        <w:numPr>
          <w:ilvl w:val="0"/>
          <w:numId w:val="4"/>
        </w:numPr>
        <w:kinsoku/>
        <w:wordWrap/>
        <w:overflowPunct/>
        <w:topLinePunct w:val="0"/>
        <w:autoSpaceDE/>
        <w:autoSpaceDN/>
        <w:bidi w:val="0"/>
        <w:adjustRightInd/>
        <w:snapToGrid/>
        <w:spacing w:line="440" w:lineRule="exact"/>
        <w:ind w:left="0" w:leftChars="0" w:firstLine="560" w:firstLineChars="0"/>
        <w:textAlignment w:val="auto"/>
        <w:rPr>
          <w:rFonts w:hint="eastAsia" w:ascii="方正仿宋_GBK" w:hAnsi="方正仿宋_GBK" w:eastAsia="方正仿宋_GBK" w:cs="方正仿宋_GBK"/>
          <w:b/>
          <w:color w:val="000000"/>
          <w:sz w:val="28"/>
          <w:szCs w:val="28"/>
          <w:highlight w:val="none"/>
          <w:lang w:val="en-US" w:eastAsia="zh-CN"/>
        </w:rPr>
      </w:pPr>
      <w:r>
        <w:rPr>
          <w:rFonts w:hint="eastAsia" w:ascii="Times New Roman" w:hAnsi="Times New Roman" w:eastAsia="方正仿宋_GBK" w:cs="Times New Roman"/>
          <w:sz w:val="28"/>
          <w:highlight w:val="none"/>
        </w:rPr>
        <w:t>本保险单承保</w:t>
      </w:r>
      <w:r>
        <w:rPr>
          <w:rFonts w:hint="eastAsia" w:eastAsia="方正仿宋_GBK" w:cs="Times New Roman"/>
          <w:sz w:val="28"/>
          <w:highlight w:val="none"/>
          <w:lang w:eastAsia="zh-CN"/>
        </w:rPr>
        <w:t>被保险人</w:t>
      </w:r>
      <w:r>
        <w:rPr>
          <w:rFonts w:hint="eastAsia" w:ascii="Times New Roman" w:hAnsi="Times New Roman" w:eastAsia="方正仿宋_GBK" w:cs="Times New Roman"/>
          <w:sz w:val="28"/>
          <w:highlight w:val="none"/>
        </w:rPr>
        <w:t>在本保险单明细表中列明地点范围内因其提供的食品、饮料掺有异物或有毒而造成从业人员人身伤亡时依照中华人民共和国（不含香港、澳门、台湾地区）法律应负的赔偿责任。</w:t>
      </w:r>
    </w:p>
    <w:p w14:paraId="6803E3B8">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textAlignment w:val="auto"/>
        <w:rPr>
          <w:rFonts w:hint="eastAsia" w:ascii="方正仿宋_GBK" w:hAnsi="方正仿宋_GBK" w:eastAsia="方正仿宋_GBK" w:cs="方正仿宋_GBK"/>
          <w:b/>
          <w:color w:val="000000"/>
          <w:sz w:val="28"/>
          <w:szCs w:val="28"/>
          <w:highlight w:val="none"/>
          <w:lang w:val="en-US" w:eastAsia="zh-CN"/>
        </w:rPr>
      </w:pPr>
      <w:r>
        <w:rPr>
          <w:rFonts w:hint="eastAsia" w:ascii="方正仿宋_GBK" w:hAnsi="方正仿宋_GBK" w:eastAsia="方正仿宋_GBK" w:cs="方正仿宋_GBK"/>
          <w:b/>
          <w:color w:val="000000"/>
          <w:sz w:val="28"/>
          <w:szCs w:val="28"/>
          <w:highlight w:val="none"/>
          <w:lang w:val="en-US" w:eastAsia="zh-CN"/>
        </w:rPr>
        <w:t>第三部分 公众责任险</w:t>
      </w:r>
    </w:p>
    <w:p w14:paraId="1BE09DE5">
      <w:pPr>
        <w:keepNext w:val="0"/>
        <w:keepLines w:val="0"/>
        <w:pageBreakBefore w:val="0"/>
        <w:numPr>
          <w:ilvl w:val="0"/>
          <w:numId w:val="0"/>
        </w:numPr>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方正仿宋_GBK" w:cs="Times New Roman"/>
          <w:sz w:val="28"/>
          <w:highlight w:val="none"/>
          <w:lang w:val="en-US" w:eastAsia="zh-CN"/>
        </w:rPr>
      </w:pPr>
      <w:r>
        <w:rPr>
          <w:rFonts w:hint="eastAsia" w:ascii="方正仿宋_GBK" w:hAnsi="方正仿宋_GBK" w:eastAsia="方正仿宋_GBK" w:cs="方正仿宋_GBK"/>
          <w:b/>
          <w:bCs/>
          <w:color w:val="000000"/>
          <w:sz w:val="28"/>
          <w:szCs w:val="28"/>
          <w:highlight w:val="none"/>
          <w:lang w:eastAsia="zh-CN"/>
        </w:rPr>
        <w:t>【</w:t>
      </w:r>
      <w:r>
        <w:rPr>
          <w:rFonts w:hint="eastAsia" w:ascii="方正仿宋_GBK" w:hAnsi="方正仿宋_GBK" w:eastAsia="方正仿宋_GBK" w:cs="方正仿宋_GBK"/>
          <w:b/>
          <w:bCs/>
          <w:color w:val="000000"/>
          <w:sz w:val="28"/>
          <w:szCs w:val="28"/>
          <w:highlight w:val="none"/>
        </w:rPr>
        <w:t>保险责任</w:t>
      </w:r>
      <w:r>
        <w:rPr>
          <w:rFonts w:hint="eastAsia" w:ascii="方正仿宋_GBK" w:hAnsi="方正仿宋_GBK" w:eastAsia="方正仿宋_GBK" w:cs="方正仿宋_GBK"/>
          <w:b/>
          <w:bCs/>
          <w:color w:val="000000"/>
          <w:sz w:val="28"/>
          <w:szCs w:val="28"/>
          <w:highlight w:val="none"/>
          <w:lang w:eastAsia="zh-CN"/>
        </w:rPr>
        <w:t>】</w:t>
      </w:r>
    </w:p>
    <w:p w14:paraId="4BFD52DA">
      <w:pPr>
        <w:keepNext w:val="0"/>
        <w:keepLines w:val="0"/>
        <w:pageBreakBefore w:val="0"/>
        <w:numPr>
          <w:ilvl w:val="0"/>
          <w:numId w:val="0"/>
        </w:numPr>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方正仿宋_GBK" w:cs="Times New Roman"/>
          <w:sz w:val="28"/>
          <w:highlight w:val="none"/>
          <w:lang w:val="en-US" w:eastAsia="zh-CN"/>
        </w:rPr>
      </w:pPr>
      <w:r>
        <w:rPr>
          <w:rFonts w:hint="eastAsia" w:ascii="Times New Roman" w:hAnsi="Times New Roman" w:eastAsia="方正仿宋_GBK" w:cs="Times New Roman"/>
          <w:b/>
          <w:bCs/>
          <w:sz w:val="28"/>
          <w:highlight w:val="none"/>
          <w:lang w:val="en-US" w:eastAsia="zh-CN"/>
        </w:rPr>
        <w:t>第九条</w:t>
      </w:r>
      <w:r>
        <w:rPr>
          <w:rFonts w:hint="eastAsia" w:ascii="Times New Roman" w:hAnsi="Times New Roman" w:eastAsia="方正仿宋_GBK" w:cs="Times New Roman"/>
          <w:sz w:val="28"/>
          <w:highlight w:val="none"/>
          <w:lang w:val="en-US" w:eastAsia="zh-CN"/>
        </w:rPr>
        <w:t xml:space="preserve"> 在本保险有效期限内，被保险人在本保险单明细表中列明的地点范围内依法从事生产、经营等活动以及由于意外事故造成下列损失或费用，依法应由被保险人承担的民事赔偿责任，保险人负责赔偿：</w:t>
      </w:r>
    </w:p>
    <w:p w14:paraId="4B8E9DBF">
      <w:pPr>
        <w:keepNext w:val="0"/>
        <w:keepLines w:val="0"/>
        <w:pageBreakBefore w:val="0"/>
        <w:numPr>
          <w:ilvl w:val="0"/>
          <w:numId w:val="0"/>
        </w:numPr>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方正仿宋_GBK" w:cs="Times New Roman"/>
          <w:sz w:val="28"/>
          <w:highlight w:val="none"/>
          <w:lang w:val="en-US" w:eastAsia="zh-CN"/>
        </w:rPr>
      </w:pPr>
      <w:r>
        <w:rPr>
          <w:rFonts w:hint="eastAsia" w:ascii="Times New Roman" w:hAnsi="Times New Roman" w:eastAsia="方正仿宋_GBK" w:cs="Times New Roman"/>
          <w:sz w:val="28"/>
          <w:highlight w:val="none"/>
          <w:lang w:val="en-US" w:eastAsia="zh-CN"/>
        </w:rPr>
        <w:t>（1）第三者人身伤亡或财产损失；</w:t>
      </w:r>
    </w:p>
    <w:p w14:paraId="4BE0753F">
      <w:pPr>
        <w:keepNext w:val="0"/>
        <w:keepLines w:val="0"/>
        <w:pageBreakBefore w:val="0"/>
        <w:numPr>
          <w:ilvl w:val="0"/>
          <w:numId w:val="0"/>
        </w:numPr>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方正仿宋_GBK" w:cs="Times New Roman"/>
          <w:sz w:val="28"/>
          <w:highlight w:val="none"/>
          <w:lang w:val="en-US" w:eastAsia="zh-CN"/>
        </w:rPr>
      </w:pPr>
      <w:r>
        <w:rPr>
          <w:rFonts w:hint="eastAsia" w:ascii="Times New Roman" w:hAnsi="Times New Roman" w:eastAsia="方正仿宋_GBK" w:cs="Times New Roman"/>
          <w:sz w:val="28"/>
          <w:highlight w:val="none"/>
          <w:lang w:val="en-US" w:eastAsia="zh-CN"/>
        </w:rPr>
        <w:t>（2）事先经保险人书面同意的诉讼费用；</w:t>
      </w:r>
    </w:p>
    <w:p w14:paraId="0AC29E35">
      <w:pPr>
        <w:keepNext w:val="0"/>
        <w:keepLines w:val="0"/>
        <w:pageBreakBefore w:val="0"/>
        <w:numPr>
          <w:ilvl w:val="0"/>
          <w:numId w:val="0"/>
        </w:numPr>
        <w:kinsoku/>
        <w:wordWrap/>
        <w:overflowPunct/>
        <w:topLinePunct w:val="0"/>
        <w:autoSpaceDE/>
        <w:autoSpaceDN/>
        <w:bidi w:val="0"/>
        <w:adjustRightInd/>
        <w:snapToGrid/>
        <w:spacing w:line="440" w:lineRule="exact"/>
        <w:ind w:firstLine="560" w:firstLineChars="200"/>
        <w:textAlignment w:val="auto"/>
        <w:rPr>
          <w:rFonts w:hint="eastAsia" w:ascii="方正仿宋_GBK" w:hAnsi="方正仿宋_GBK" w:eastAsia="方正仿宋_GBK" w:cs="方正仿宋_GBK"/>
          <w:b/>
          <w:bCs/>
          <w:color w:val="000000"/>
          <w:sz w:val="28"/>
          <w:szCs w:val="28"/>
          <w:highlight w:val="none"/>
          <w:lang w:val="en-US" w:eastAsia="zh-CN"/>
        </w:rPr>
      </w:pPr>
      <w:r>
        <w:rPr>
          <w:rFonts w:hint="eastAsia" w:ascii="Times New Roman" w:hAnsi="Times New Roman" w:eastAsia="方正仿宋_GBK" w:cs="Times New Roman"/>
          <w:sz w:val="28"/>
          <w:highlight w:val="none"/>
          <w:lang w:val="en-US" w:eastAsia="zh-CN"/>
        </w:rPr>
        <w:t>（3）发生保险责任事故后，被保险人为缩小或减少对第三者人身伤亡或财产损失的赔偿责任所支付的必要的、合理的费用。</w:t>
      </w:r>
    </w:p>
    <w:p w14:paraId="4B88BD8D">
      <w:pPr>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textAlignment w:val="auto"/>
        <w:rPr>
          <w:rFonts w:hint="eastAsia" w:ascii="方正仿宋_GBK" w:hAnsi="方正仿宋_GBK" w:eastAsia="方正仿宋_GBK" w:cs="方正仿宋_GBK"/>
          <w:b/>
          <w:bCs/>
          <w:color w:val="000000"/>
          <w:sz w:val="28"/>
          <w:szCs w:val="28"/>
          <w:highlight w:val="none"/>
          <w:lang w:eastAsia="zh-CN"/>
        </w:rPr>
      </w:pPr>
      <w:r>
        <w:rPr>
          <w:rFonts w:hint="eastAsia" w:ascii="方正仿宋_GBK" w:hAnsi="方正仿宋_GBK" w:eastAsia="方正仿宋_GBK" w:cs="方正仿宋_GBK"/>
          <w:b/>
          <w:bCs/>
          <w:color w:val="000000"/>
          <w:sz w:val="28"/>
          <w:szCs w:val="28"/>
          <w:highlight w:val="none"/>
          <w:lang w:val="en-US" w:eastAsia="zh-CN"/>
        </w:rPr>
        <w:t>【附加险条款及</w:t>
      </w:r>
      <w:r>
        <w:rPr>
          <w:rFonts w:hint="eastAsia" w:ascii="方正仿宋_GBK" w:hAnsi="方正仿宋_GBK" w:eastAsia="方正仿宋_GBK" w:cs="方正仿宋_GBK"/>
          <w:b/>
          <w:bCs/>
          <w:color w:val="000000"/>
          <w:sz w:val="28"/>
          <w:szCs w:val="28"/>
          <w:highlight w:val="none"/>
        </w:rPr>
        <w:t>特别约定</w:t>
      </w:r>
      <w:r>
        <w:rPr>
          <w:rFonts w:hint="eastAsia" w:ascii="方正仿宋_GBK" w:hAnsi="方正仿宋_GBK" w:eastAsia="方正仿宋_GBK" w:cs="方正仿宋_GBK"/>
          <w:b/>
          <w:bCs/>
          <w:color w:val="000000"/>
          <w:sz w:val="28"/>
          <w:szCs w:val="28"/>
          <w:highlight w:val="none"/>
          <w:lang w:eastAsia="zh-CN"/>
        </w:rPr>
        <w:t>】</w:t>
      </w:r>
    </w:p>
    <w:p w14:paraId="34924D2E">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560" w:firstLineChars="200"/>
        <w:textAlignment w:val="auto"/>
        <w:rPr>
          <w:rFonts w:hint="eastAsia" w:ascii="Times New Roman" w:hAnsi="Times New Roman" w:eastAsia="方正仿宋_GBK" w:cs="Times New Roman"/>
          <w:sz w:val="28"/>
          <w:highlight w:val="none"/>
          <w:lang w:eastAsia="zh-CN"/>
        </w:rPr>
      </w:pPr>
      <w:r>
        <w:rPr>
          <w:rFonts w:hint="eastAsia" w:ascii="Times New Roman" w:hAnsi="Times New Roman" w:eastAsia="方正仿宋_GBK" w:cs="Times New Roman"/>
          <w:kern w:val="2"/>
          <w:sz w:val="28"/>
          <w:szCs w:val="24"/>
          <w:highlight w:val="none"/>
          <w:lang w:val="en-US" w:eastAsia="zh-CN" w:bidi="ar-SA"/>
        </w:rPr>
        <w:t>(1)</w:t>
      </w:r>
      <w:r>
        <w:rPr>
          <w:rFonts w:hint="eastAsia" w:ascii="Times New Roman" w:hAnsi="Times New Roman" w:eastAsia="方正仿宋_GBK" w:cs="Times New Roman"/>
          <w:sz w:val="28"/>
          <w:highlight w:val="none"/>
        </w:rPr>
        <w:t>本保险将作业货物和被</w:t>
      </w:r>
      <w:r>
        <w:rPr>
          <w:rFonts w:hint="eastAsia" w:eastAsia="方正仿宋_GBK" w:cs="Times New Roman"/>
          <w:sz w:val="28"/>
          <w:highlight w:val="none"/>
          <w:lang w:eastAsia="zh-CN"/>
        </w:rPr>
        <w:t>保险人</w:t>
      </w:r>
      <w:r>
        <w:rPr>
          <w:rFonts w:hint="eastAsia" w:ascii="Times New Roman" w:hAnsi="Times New Roman" w:eastAsia="方正仿宋_GBK" w:cs="Times New Roman"/>
          <w:sz w:val="28"/>
          <w:highlight w:val="none"/>
        </w:rPr>
        <w:t>以外的第三者所有或控制的作业</w:t>
      </w:r>
      <w:r>
        <w:rPr>
          <w:rFonts w:hint="eastAsia" w:eastAsia="方正仿宋_GBK" w:cs="Times New Roman"/>
          <w:sz w:val="28"/>
          <w:highlight w:val="none"/>
          <w:lang w:eastAsia="zh-CN"/>
        </w:rPr>
        <w:t>车辆、设备</w:t>
      </w:r>
      <w:r>
        <w:rPr>
          <w:rFonts w:hint="eastAsia" w:ascii="Times New Roman" w:hAnsi="Times New Roman" w:eastAsia="方正仿宋_GBK" w:cs="Times New Roman"/>
          <w:sz w:val="28"/>
          <w:highlight w:val="none"/>
        </w:rPr>
        <w:t>视同为第三者财产，</w:t>
      </w:r>
      <w:r>
        <w:rPr>
          <w:rFonts w:hint="eastAsia" w:eastAsia="方正仿宋_GBK" w:cs="Times New Roman"/>
          <w:sz w:val="28"/>
          <w:highlight w:val="none"/>
          <w:lang w:eastAsia="zh-CN"/>
        </w:rPr>
        <w:t>保险人</w:t>
      </w:r>
      <w:r>
        <w:rPr>
          <w:rFonts w:hint="eastAsia" w:ascii="Times New Roman" w:hAnsi="Times New Roman" w:eastAsia="方正仿宋_GBK" w:cs="Times New Roman"/>
          <w:sz w:val="28"/>
          <w:highlight w:val="none"/>
        </w:rPr>
        <w:t>负责赔偿</w:t>
      </w:r>
      <w:r>
        <w:rPr>
          <w:rFonts w:hint="eastAsia" w:ascii="Times New Roman" w:hAnsi="Times New Roman" w:eastAsia="方正仿宋_GBK" w:cs="Times New Roman"/>
          <w:sz w:val="28"/>
          <w:highlight w:val="none"/>
          <w:lang w:eastAsia="zh-CN"/>
        </w:rPr>
        <w:t>。</w:t>
      </w:r>
    </w:p>
    <w:p w14:paraId="25A3611A">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560" w:firstLineChars="200"/>
        <w:textAlignment w:val="auto"/>
        <w:rPr>
          <w:rFonts w:hint="eastAsia" w:ascii="Times New Roman" w:hAnsi="Times New Roman" w:eastAsia="方正仿宋_GBK" w:cs="Times New Roman"/>
          <w:sz w:val="28"/>
          <w:highlight w:val="none"/>
          <w:lang w:eastAsia="zh-CN"/>
        </w:rPr>
      </w:pPr>
      <w:r>
        <w:rPr>
          <w:rFonts w:hint="eastAsia" w:ascii="Times New Roman" w:hAnsi="Times New Roman" w:eastAsia="方正仿宋_GBK" w:cs="Times New Roman"/>
          <w:kern w:val="2"/>
          <w:sz w:val="28"/>
          <w:szCs w:val="24"/>
          <w:highlight w:val="none"/>
          <w:lang w:val="en-US" w:eastAsia="zh-CN" w:bidi="ar-SA"/>
        </w:rPr>
        <w:t>(2)</w:t>
      </w:r>
      <w:r>
        <w:rPr>
          <w:rFonts w:hint="eastAsia" w:ascii="Times New Roman" w:hAnsi="Times New Roman" w:eastAsia="方正仿宋_GBK" w:cs="Times New Roman"/>
          <w:sz w:val="28"/>
          <w:highlight w:val="none"/>
        </w:rPr>
        <w:t>经法院判决应由</w:t>
      </w:r>
      <w:r>
        <w:rPr>
          <w:rFonts w:hint="eastAsia" w:eastAsia="方正仿宋_GBK" w:cs="Times New Roman"/>
          <w:sz w:val="28"/>
          <w:highlight w:val="none"/>
          <w:lang w:eastAsia="zh-CN"/>
        </w:rPr>
        <w:t>被保险人</w:t>
      </w:r>
      <w:r>
        <w:rPr>
          <w:rFonts w:hint="eastAsia" w:ascii="Times New Roman" w:hAnsi="Times New Roman" w:eastAsia="方正仿宋_GBK" w:cs="Times New Roman"/>
          <w:sz w:val="28"/>
          <w:highlight w:val="none"/>
        </w:rPr>
        <w:t>承担的精神损害赔偿责任，</w:t>
      </w:r>
      <w:r>
        <w:rPr>
          <w:rFonts w:hint="eastAsia" w:eastAsia="方正仿宋_GBK" w:cs="Times New Roman"/>
          <w:sz w:val="28"/>
          <w:highlight w:val="none"/>
          <w:lang w:eastAsia="zh-CN"/>
        </w:rPr>
        <w:t>保险人</w:t>
      </w:r>
      <w:r>
        <w:rPr>
          <w:rFonts w:hint="eastAsia" w:ascii="Times New Roman" w:hAnsi="Times New Roman" w:eastAsia="方正仿宋_GBK" w:cs="Times New Roman"/>
          <w:sz w:val="28"/>
          <w:highlight w:val="none"/>
        </w:rPr>
        <w:t>负责赔偿。</w:t>
      </w:r>
    </w:p>
    <w:p w14:paraId="5E9CDB0A">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560" w:firstLineChars="200"/>
        <w:textAlignment w:val="auto"/>
        <w:rPr>
          <w:rFonts w:hint="eastAsia" w:ascii="Times New Roman" w:hAnsi="Times New Roman" w:eastAsia="方正仿宋_GBK" w:cs="Times New Roman"/>
          <w:sz w:val="28"/>
          <w:highlight w:val="none"/>
        </w:rPr>
      </w:pPr>
      <w:r>
        <w:rPr>
          <w:rFonts w:hint="default" w:ascii="Times New Roman" w:hAnsi="Times New Roman" w:eastAsia="方正仿宋_GBK" w:cs="Times New Roman"/>
          <w:kern w:val="2"/>
          <w:sz w:val="28"/>
          <w:szCs w:val="24"/>
          <w:highlight w:val="none"/>
          <w:lang w:val="en-US" w:eastAsia="zh-CN" w:bidi="ar-SA"/>
        </w:rPr>
        <w:t>(</w:t>
      </w:r>
      <w:r>
        <w:rPr>
          <w:rFonts w:hint="eastAsia" w:ascii="Times New Roman" w:hAnsi="Times New Roman" w:eastAsia="方正仿宋_GBK" w:cs="Times New Roman"/>
          <w:kern w:val="2"/>
          <w:sz w:val="28"/>
          <w:szCs w:val="24"/>
          <w:highlight w:val="none"/>
          <w:lang w:val="en-US" w:eastAsia="zh-CN" w:bidi="ar-SA"/>
        </w:rPr>
        <w:t>3</w:t>
      </w:r>
      <w:r>
        <w:rPr>
          <w:rFonts w:hint="default" w:ascii="Times New Roman" w:hAnsi="Times New Roman" w:eastAsia="方正仿宋_GBK" w:cs="Times New Roman"/>
          <w:kern w:val="2"/>
          <w:sz w:val="28"/>
          <w:szCs w:val="24"/>
          <w:highlight w:val="none"/>
          <w:lang w:val="en-US" w:eastAsia="zh-CN" w:bidi="ar-SA"/>
        </w:rPr>
        <w:t>)</w:t>
      </w:r>
      <w:r>
        <w:rPr>
          <w:rFonts w:hint="eastAsia" w:eastAsia="方正仿宋_GBK" w:cs="Times New Roman"/>
          <w:sz w:val="28"/>
          <w:highlight w:val="none"/>
          <w:lang w:val="en-US" w:eastAsia="zh-CN"/>
        </w:rPr>
        <w:t>被保险人的业务承包商</w:t>
      </w:r>
      <w:r>
        <w:rPr>
          <w:rFonts w:hint="eastAsia" w:ascii="Times New Roman" w:hAnsi="Times New Roman" w:eastAsia="方正仿宋_GBK" w:cs="Times New Roman"/>
          <w:sz w:val="28"/>
          <w:highlight w:val="none"/>
          <w:lang w:val="en-US" w:eastAsia="zh-CN"/>
        </w:rPr>
        <w:t>在被保险人投保区域范围内依法从事被保险人委托的生产经营等活动中以及意外事故（包括火灾、爆炸）造成的第三者人身伤亡或财产损失（包括生产活动过程中因使用工索具断裂造成第三者人身伤亡或财产损失），保险人负责赔偿，保险人持有对业务承包商的代位追偿，被保险人积极配合保险人的追偿工作。</w:t>
      </w:r>
    </w:p>
    <w:p w14:paraId="26290EA3">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560" w:firstLineChars="200"/>
        <w:textAlignment w:val="auto"/>
        <w:rPr>
          <w:rFonts w:hint="default" w:ascii="Times New Roman" w:hAnsi="Times New Roman" w:eastAsia="方正仿宋_GBK" w:cs="Times New Roman"/>
          <w:sz w:val="28"/>
          <w:highlight w:val="none"/>
          <w:lang w:val="en-US" w:eastAsia="zh-CN"/>
        </w:rPr>
      </w:pPr>
      <w:r>
        <w:rPr>
          <w:rFonts w:hint="default" w:ascii="Times New Roman" w:hAnsi="Times New Roman" w:eastAsia="方正仿宋_GBK" w:cs="Times New Roman"/>
          <w:kern w:val="2"/>
          <w:sz w:val="28"/>
          <w:szCs w:val="24"/>
          <w:highlight w:val="none"/>
          <w:lang w:val="en-US" w:eastAsia="zh-CN" w:bidi="ar-SA"/>
        </w:rPr>
        <w:t>(</w:t>
      </w:r>
      <w:r>
        <w:rPr>
          <w:rFonts w:hint="eastAsia" w:ascii="Times New Roman" w:hAnsi="Times New Roman" w:eastAsia="方正仿宋_GBK" w:cs="Times New Roman"/>
          <w:kern w:val="2"/>
          <w:sz w:val="28"/>
          <w:szCs w:val="24"/>
          <w:highlight w:val="none"/>
          <w:lang w:val="en-US" w:eastAsia="zh-CN" w:bidi="ar-SA"/>
        </w:rPr>
        <w:t>4</w:t>
      </w:r>
      <w:r>
        <w:rPr>
          <w:rFonts w:hint="default" w:ascii="Times New Roman" w:hAnsi="Times New Roman" w:eastAsia="方正仿宋_GBK" w:cs="Times New Roman"/>
          <w:kern w:val="2"/>
          <w:sz w:val="28"/>
          <w:szCs w:val="24"/>
          <w:highlight w:val="none"/>
          <w:lang w:val="en-US" w:eastAsia="zh-CN" w:bidi="ar-SA"/>
        </w:rPr>
        <w:t>)</w:t>
      </w:r>
      <w:r>
        <w:rPr>
          <w:rFonts w:hint="eastAsia" w:ascii="Times New Roman" w:hAnsi="Times New Roman" w:eastAsia="方正仿宋_GBK" w:cs="Times New Roman"/>
          <w:sz w:val="28"/>
          <w:highlight w:val="none"/>
          <w:lang w:val="en-US" w:eastAsia="zh-CN"/>
        </w:rPr>
        <w:t>在被保险人投保区域范围内活动的所有生产、运输车辆及其他机械设备在从事被保险人委托的生产经营活动过程中导致第三者人身伤亡或财产损失的，保险人负责赔偿，其中非被保险人自有车辆和机械设备造成的损失，保险人持有追偿权利，被保险人积极配合保险人的追偿工作。</w:t>
      </w:r>
    </w:p>
    <w:p w14:paraId="1E02C0C6">
      <w:pPr>
        <w:keepNext w:val="0"/>
        <w:keepLines w:val="0"/>
        <w:pageBreakBefore w:val="0"/>
        <w:numPr>
          <w:ilvl w:val="0"/>
          <w:numId w:val="0"/>
        </w:numPr>
        <w:kinsoku/>
        <w:wordWrap/>
        <w:overflowPunct/>
        <w:topLinePunct w:val="0"/>
        <w:autoSpaceDE/>
        <w:autoSpaceDN/>
        <w:bidi w:val="0"/>
        <w:adjustRightInd/>
        <w:snapToGrid/>
        <w:spacing w:line="440" w:lineRule="exact"/>
        <w:ind w:left="0" w:leftChars="0" w:firstLine="560" w:firstLineChars="200"/>
        <w:textAlignment w:val="auto"/>
        <w:rPr>
          <w:rFonts w:hint="eastAsia" w:ascii="Times New Roman" w:hAnsi="Times New Roman" w:eastAsia="方正仿宋_GBK" w:cs="Times New Roman"/>
          <w:sz w:val="28"/>
          <w:highlight w:val="none"/>
        </w:rPr>
      </w:pPr>
      <w:r>
        <w:rPr>
          <w:rFonts w:hint="default" w:ascii="Times New Roman" w:hAnsi="Times New Roman" w:eastAsia="方正仿宋_GBK" w:cs="Times New Roman"/>
          <w:kern w:val="2"/>
          <w:sz w:val="28"/>
          <w:szCs w:val="24"/>
          <w:highlight w:val="none"/>
          <w:lang w:val="en-US" w:eastAsia="zh-CN" w:bidi="ar-SA"/>
        </w:rPr>
        <w:t>(</w:t>
      </w:r>
      <w:r>
        <w:rPr>
          <w:rFonts w:hint="eastAsia" w:ascii="Times New Roman" w:hAnsi="Times New Roman" w:eastAsia="方正仿宋_GBK" w:cs="Times New Roman"/>
          <w:kern w:val="2"/>
          <w:sz w:val="28"/>
          <w:szCs w:val="24"/>
          <w:highlight w:val="none"/>
          <w:lang w:val="en-US" w:eastAsia="zh-CN" w:bidi="ar-SA"/>
        </w:rPr>
        <w:t>5</w:t>
      </w:r>
      <w:r>
        <w:rPr>
          <w:rFonts w:hint="default" w:ascii="Times New Roman" w:hAnsi="Times New Roman" w:eastAsia="方正仿宋_GBK" w:cs="Times New Roman"/>
          <w:kern w:val="2"/>
          <w:sz w:val="28"/>
          <w:szCs w:val="24"/>
          <w:highlight w:val="none"/>
          <w:lang w:val="en-US" w:eastAsia="zh-CN" w:bidi="ar-SA"/>
        </w:rPr>
        <w:t>)</w:t>
      </w:r>
      <w:r>
        <w:rPr>
          <w:rFonts w:hint="eastAsia" w:eastAsia="方正仿宋_GBK" w:cs="Times New Roman"/>
          <w:sz w:val="28"/>
          <w:highlight w:val="none"/>
          <w:lang w:val="en-US" w:eastAsia="zh-CN"/>
        </w:rPr>
        <w:t>被保险人投保区域范围内</w:t>
      </w:r>
      <w:r>
        <w:rPr>
          <w:rFonts w:hint="eastAsia" w:ascii="Times New Roman" w:hAnsi="Times New Roman" w:eastAsia="方正仿宋_GBK" w:cs="Times New Roman"/>
          <w:sz w:val="28"/>
          <w:highlight w:val="none"/>
          <w:lang w:val="en-US" w:eastAsia="zh-CN"/>
        </w:rPr>
        <w:t>的</w:t>
      </w:r>
      <w:r>
        <w:rPr>
          <w:rFonts w:hint="eastAsia" w:ascii="Times New Roman" w:hAnsi="Times New Roman" w:eastAsia="方正仿宋_GBK" w:cs="Times New Roman"/>
          <w:sz w:val="28"/>
          <w:highlight w:val="none"/>
          <w:lang w:eastAsia="zh-CN"/>
        </w:rPr>
        <w:t>充电桩</w:t>
      </w:r>
      <w:r>
        <w:rPr>
          <w:rFonts w:hint="eastAsia" w:ascii="Times New Roman" w:hAnsi="Times New Roman" w:eastAsia="方正仿宋_GBK" w:cs="Times New Roman"/>
          <w:sz w:val="28"/>
          <w:highlight w:val="none"/>
          <w:lang w:val="en-US" w:eastAsia="zh-CN"/>
        </w:rPr>
        <w:t>在</w:t>
      </w:r>
      <w:r>
        <w:rPr>
          <w:rFonts w:hint="eastAsia" w:ascii="Times New Roman" w:hAnsi="Times New Roman" w:eastAsia="方正仿宋_GBK" w:cs="Times New Roman"/>
          <w:sz w:val="28"/>
          <w:highlight w:val="none"/>
          <w:lang w:eastAsia="zh-CN"/>
        </w:rPr>
        <w:t>使用过程中，因充电桩故障或操作不当导致第三者人身伤害或财产损失，</w:t>
      </w:r>
      <w:r>
        <w:rPr>
          <w:rFonts w:hint="eastAsia" w:ascii="Times New Roman" w:hAnsi="Times New Roman" w:eastAsia="方正仿宋_GBK" w:cs="Times New Roman"/>
          <w:sz w:val="28"/>
          <w:highlight w:val="none"/>
          <w:lang w:val="en-US" w:eastAsia="zh-CN"/>
        </w:rPr>
        <w:t>保险人负责赔偿</w:t>
      </w:r>
      <w:r>
        <w:rPr>
          <w:rFonts w:hint="eastAsia" w:ascii="Times New Roman" w:hAnsi="Times New Roman" w:eastAsia="方正仿宋_GBK" w:cs="Times New Roman"/>
          <w:sz w:val="28"/>
          <w:highlight w:val="none"/>
          <w:lang w:eastAsia="zh-CN"/>
        </w:rPr>
        <w:t>。</w:t>
      </w:r>
    </w:p>
    <w:p w14:paraId="03148154">
      <w:pPr>
        <w:keepNext w:val="0"/>
        <w:keepLines w:val="0"/>
        <w:pageBreakBefore w:val="0"/>
        <w:numPr>
          <w:ilvl w:val="0"/>
          <w:numId w:val="0"/>
        </w:numPr>
        <w:kinsoku/>
        <w:wordWrap/>
        <w:overflowPunct/>
        <w:topLinePunct w:val="0"/>
        <w:autoSpaceDE/>
        <w:autoSpaceDN/>
        <w:bidi w:val="0"/>
        <w:adjustRightInd/>
        <w:snapToGrid/>
        <w:spacing w:line="440" w:lineRule="exact"/>
        <w:ind w:left="0" w:leftChars="0" w:firstLine="560" w:firstLineChars="200"/>
        <w:textAlignment w:val="auto"/>
        <w:rPr>
          <w:rFonts w:hint="eastAsia" w:ascii="Times New Roman" w:hAnsi="Times New Roman" w:eastAsia="方正仿宋_GBK" w:cs="Times New Roman"/>
          <w:sz w:val="28"/>
          <w:highlight w:val="none"/>
        </w:rPr>
      </w:pPr>
      <w:r>
        <w:rPr>
          <w:rFonts w:hint="default" w:ascii="Times New Roman" w:hAnsi="Times New Roman" w:eastAsia="方正仿宋_GBK" w:cs="Times New Roman"/>
          <w:kern w:val="2"/>
          <w:sz w:val="28"/>
          <w:szCs w:val="24"/>
          <w:highlight w:val="none"/>
          <w:lang w:val="en-US" w:eastAsia="zh-CN" w:bidi="ar-SA"/>
        </w:rPr>
        <w:t>(</w:t>
      </w:r>
      <w:r>
        <w:rPr>
          <w:rFonts w:hint="eastAsia" w:ascii="Times New Roman" w:hAnsi="Times New Roman" w:eastAsia="方正仿宋_GBK" w:cs="Times New Roman"/>
          <w:kern w:val="2"/>
          <w:sz w:val="28"/>
          <w:szCs w:val="24"/>
          <w:highlight w:val="none"/>
          <w:lang w:val="en-US" w:eastAsia="zh-CN" w:bidi="ar-SA"/>
        </w:rPr>
        <w:t>6</w:t>
      </w:r>
      <w:r>
        <w:rPr>
          <w:rFonts w:hint="default" w:ascii="Times New Roman" w:hAnsi="Times New Roman" w:eastAsia="方正仿宋_GBK" w:cs="Times New Roman"/>
          <w:kern w:val="2"/>
          <w:sz w:val="28"/>
          <w:szCs w:val="24"/>
          <w:highlight w:val="none"/>
          <w:lang w:val="en-US" w:eastAsia="zh-CN" w:bidi="ar-SA"/>
        </w:rPr>
        <w:t>)</w:t>
      </w:r>
      <w:r>
        <w:rPr>
          <w:rFonts w:hint="eastAsia" w:ascii="Times New Roman" w:hAnsi="Times New Roman" w:eastAsia="方正仿宋_GBK" w:cs="Times New Roman"/>
          <w:sz w:val="28"/>
          <w:highlight w:val="none"/>
          <w:lang w:val="en-US" w:eastAsia="zh-CN"/>
        </w:rPr>
        <w:t>在被保险人投保区域范围内布置的广告、霓虹灯、装饰物损坏和坠落造成第三者的人身伤亡或财产损失，依法应由被保险人承担的赔偿责任，保险人负责赔偿。</w:t>
      </w:r>
    </w:p>
    <w:p w14:paraId="69E748E7">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560" w:firstLineChars="200"/>
        <w:jc w:val="left"/>
        <w:textAlignment w:val="auto"/>
        <w:outlineLvl w:val="9"/>
        <w:rPr>
          <w:rFonts w:hint="eastAsia" w:ascii="方正黑体_GBK" w:hAnsi="方正黑体_GBK" w:eastAsia="方正黑体_GBK" w:cs="方正黑体_GBK"/>
          <w:caps w:val="0"/>
          <w:color w:val="auto"/>
          <w:sz w:val="28"/>
          <w:szCs w:val="28"/>
          <w:highlight w:val="none"/>
          <w:lang w:val="en-US" w:eastAsia="zh-CN"/>
        </w:rPr>
      </w:pPr>
      <w:r>
        <w:rPr>
          <w:rFonts w:hint="eastAsia" w:ascii="方正黑体_GBK" w:hAnsi="方正黑体_GBK" w:eastAsia="方正黑体_GBK" w:cs="方正黑体_GBK"/>
          <w:caps w:val="0"/>
          <w:color w:val="auto"/>
          <w:sz w:val="28"/>
          <w:szCs w:val="28"/>
          <w:highlight w:val="none"/>
          <w:lang w:val="en-US" w:eastAsia="zh-CN"/>
        </w:rPr>
        <w:t>六、公估单位</w:t>
      </w:r>
    </w:p>
    <w:p w14:paraId="75E574F0">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560" w:firstLineChars="200"/>
        <w:jc w:val="left"/>
        <w:textAlignment w:val="auto"/>
        <w:outlineLvl w:val="9"/>
        <w:rPr>
          <w:rFonts w:hint="default" w:ascii="Times New Roman" w:hAnsi="Times New Roman" w:eastAsia="方正仿宋_GBK" w:cs="Times New Roman"/>
          <w:caps w:val="0"/>
          <w:color w:val="auto"/>
          <w:sz w:val="28"/>
          <w:szCs w:val="28"/>
          <w:highlight w:val="none"/>
          <w:lang w:val="en-US" w:eastAsia="zh-CN"/>
        </w:rPr>
      </w:pPr>
      <w:r>
        <w:rPr>
          <w:rFonts w:hint="default" w:ascii="Times New Roman" w:hAnsi="Times New Roman" w:eastAsia="方正仿宋_GBK" w:cs="Times New Roman"/>
          <w:caps w:val="0"/>
          <w:color w:val="auto"/>
          <w:sz w:val="28"/>
          <w:szCs w:val="28"/>
          <w:highlight w:val="none"/>
          <w:lang w:val="en-US" w:eastAsia="zh-CN"/>
        </w:rPr>
        <w:t>经双方同意，当发生保险责任范围内的损失，估损金额超过人民币50万元或者案情复杂双方认为有必要时，可以指定双方认可的有合法执业资格的机构作为公估人，公估费用由保险人承担。</w:t>
      </w:r>
    </w:p>
    <w:p w14:paraId="2940F0B2">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560" w:firstLineChars="200"/>
        <w:jc w:val="left"/>
        <w:textAlignment w:val="auto"/>
        <w:outlineLvl w:val="9"/>
        <w:rPr>
          <w:rFonts w:hint="eastAsia" w:ascii="方正黑体_GBK" w:hAnsi="方正黑体_GBK" w:eastAsia="方正黑体_GBK" w:cs="方正黑体_GBK"/>
          <w:caps w:val="0"/>
          <w:color w:val="auto"/>
          <w:sz w:val="28"/>
          <w:szCs w:val="28"/>
          <w:highlight w:val="none"/>
        </w:rPr>
      </w:pPr>
      <w:r>
        <w:rPr>
          <w:rFonts w:hint="eastAsia" w:ascii="方正黑体_GBK" w:hAnsi="方正黑体_GBK" w:eastAsia="方正黑体_GBK" w:cs="方正黑体_GBK"/>
          <w:caps w:val="0"/>
          <w:color w:val="auto"/>
          <w:sz w:val="28"/>
          <w:szCs w:val="28"/>
          <w:highlight w:val="none"/>
          <w:lang w:val="en-US" w:eastAsia="zh-CN"/>
        </w:rPr>
        <w:t>七、</w:t>
      </w:r>
      <w:r>
        <w:rPr>
          <w:rFonts w:hint="eastAsia" w:ascii="方正黑体_GBK" w:hAnsi="方正黑体_GBK" w:eastAsia="方正黑体_GBK" w:cs="方正黑体_GBK"/>
          <w:caps w:val="0"/>
          <w:color w:val="auto"/>
          <w:sz w:val="28"/>
          <w:szCs w:val="28"/>
          <w:highlight w:val="none"/>
        </w:rPr>
        <w:t>理赔程序与服务要求</w:t>
      </w:r>
    </w:p>
    <w:p w14:paraId="7C778D48">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560" w:firstLineChars="200"/>
        <w:jc w:val="left"/>
        <w:textAlignment w:val="auto"/>
        <w:outlineLvl w:val="9"/>
        <w:rPr>
          <w:rFonts w:hint="default" w:ascii="Times New Roman" w:hAnsi="Times New Roman" w:eastAsia="方正仿宋_GBK" w:cs="Times New Roman"/>
          <w:b/>
          <w:bCs/>
          <w:caps w:val="0"/>
          <w:color w:val="auto"/>
          <w:sz w:val="28"/>
          <w:szCs w:val="28"/>
          <w:highlight w:val="none"/>
        </w:rPr>
      </w:pPr>
      <w:r>
        <w:rPr>
          <w:rFonts w:hint="default" w:ascii="Times New Roman" w:hAnsi="Times New Roman" w:eastAsia="方正仿宋_GBK" w:cs="Times New Roman"/>
          <w:b/>
          <w:bCs/>
          <w:caps w:val="0"/>
          <w:color w:val="auto"/>
          <w:sz w:val="28"/>
          <w:szCs w:val="28"/>
          <w:highlight w:val="none"/>
        </w:rPr>
        <w:t>1</w:t>
      </w:r>
      <w:r>
        <w:rPr>
          <w:rFonts w:hint="eastAsia" w:ascii="Times New Roman" w:hAnsi="Times New Roman" w:eastAsia="方正仿宋_GBK" w:cs="Times New Roman"/>
          <w:b/>
          <w:bCs/>
          <w:caps w:val="0"/>
          <w:color w:val="auto"/>
          <w:sz w:val="28"/>
          <w:szCs w:val="28"/>
          <w:highlight w:val="none"/>
          <w:lang w:eastAsia="zh-CN"/>
        </w:rPr>
        <w:t>.</w:t>
      </w:r>
      <w:r>
        <w:rPr>
          <w:rFonts w:hint="default" w:ascii="Times New Roman" w:hAnsi="Times New Roman" w:eastAsia="方正仿宋_GBK" w:cs="Times New Roman"/>
          <w:b/>
          <w:bCs/>
          <w:caps w:val="0"/>
          <w:color w:val="auto"/>
          <w:sz w:val="28"/>
          <w:szCs w:val="28"/>
          <w:highlight w:val="none"/>
        </w:rPr>
        <w:t>接报案</w:t>
      </w:r>
    </w:p>
    <w:p w14:paraId="0FEAAB82">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560" w:firstLineChars="200"/>
        <w:jc w:val="left"/>
        <w:textAlignment w:val="auto"/>
        <w:outlineLvl w:val="9"/>
        <w:rPr>
          <w:rFonts w:hint="default" w:ascii="Times New Roman" w:hAnsi="Times New Roman" w:eastAsia="方正仿宋_GBK" w:cs="Times New Roman"/>
          <w:caps w:val="0"/>
          <w:color w:val="auto"/>
          <w:sz w:val="28"/>
          <w:szCs w:val="28"/>
          <w:highlight w:val="none"/>
        </w:rPr>
      </w:pPr>
      <w:r>
        <w:rPr>
          <w:rFonts w:hint="default" w:ascii="Times New Roman" w:hAnsi="Times New Roman" w:eastAsia="方正仿宋_GBK" w:cs="Times New Roman"/>
          <w:caps w:val="0"/>
          <w:color w:val="auto"/>
          <w:sz w:val="28"/>
          <w:szCs w:val="28"/>
          <w:highlight w:val="none"/>
        </w:rPr>
        <w:t>（1）发生保险事故，</w:t>
      </w:r>
      <w:r>
        <w:rPr>
          <w:rFonts w:hint="eastAsia" w:eastAsia="方正仿宋_GBK" w:cs="Times New Roman"/>
          <w:caps w:val="0"/>
          <w:color w:val="auto"/>
          <w:sz w:val="28"/>
          <w:szCs w:val="28"/>
          <w:highlight w:val="none"/>
          <w:lang w:eastAsia="zh-CN"/>
        </w:rPr>
        <w:t>被保险人</w:t>
      </w:r>
      <w:r>
        <w:rPr>
          <w:rFonts w:hint="default" w:ascii="Times New Roman" w:hAnsi="Times New Roman" w:eastAsia="方正仿宋_GBK" w:cs="Times New Roman"/>
          <w:caps w:val="0"/>
          <w:color w:val="auto"/>
          <w:sz w:val="28"/>
          <w:szCs w:val="28"/>
          <w:highlight w:val="none"/>
        </w:rPr>
        <w:t>应及时通过电话、邮件通知</w:t>
      </w:r>
      <w:r>
        <w:rPr>
          <w:rFonts w:hint="eastAsia" w:eastAsia="方正仿宋_GBK" w:cs="Times New Roman"/>
          <w:caps w:val="0"/>
          <w:color w:val="auto"/>
          <w:sz w:val="28"/>
          <w:szCs w:val="28"/>
          <w:highlight w:val="none"/>
          <w:lang w:eastAsia="zh-CN"/>
        </w:rPr>
        <w:t>保险人</w:t>
      </w:r>
      <w:r>
        <w:rPr>
          <w:rFonts w:hint="eastAsia" w:ascii="Times New Roman" w:hAnsi="Times New Roman" w:eastAsia="方正仿宋_GBK" w:cs="Times New Roman"/>
          <w:caps w:val="0"/>
          <w:color w:val="auto"/>
          <w:sz w:val="28"/>
          <w:szCs w:val="28"/>
          <w:highlight w:val="none"/>
          <w:lang w:eastAsia="zh-CN"/>
        </w:rPr>
        <w:t>，</w:t>
      </w:r>
      <w:r>
        <w:rPr>
          <w:rFonts w:hint="default" w:ascii="Times New Roman" w:hAnsi="Times New Roman" w:eastAsia="方正仿宋_GBK" w:cs="Times New Roman"/>
          <w:caps w:val="0"/>
          <w:color w:val="auto"/>
          <w:sz w:val="28"/>
          <w:szCs w:val="28"/>
          <w:highlight w:val="none"/>
        </w:rPr>
        <w:t>对于</w:t>
      </w:r>
      <w:r>
        <w:rPr>
          <w:rFonts w:hint="eastAsia" w:eastAsia="方正仿宋_GBK" w:cs="Times New Roman"/>
          <w:caps w:val="0"/>
          <w:color w:val="auto"/>
          <w:sz w:val="28"/>
          <w:szCs w:val="28"/>
          <w:highlight w:val="none"/>
          <w:lang w:val="en-US" w:eastAsia="zh-CN"/>
        </w:rPr>
        <w:t>被保险人</w:t>
      </w:r>
      <w:r>
        <w:rPr>
          <w:rFonts w:hint="default" w:ascii="Times New Roman" w:hAnsi="Times New Roman" w:eastAsia="方正仿宋_GBK" w:cs="Times New Roman"/>
          <w:caps w:val="0"/>
          <w:color w:val="auto"/>
          <w:sz w:val="28"/>
          <w:szCs w:val="28"/>
          <w:highlight w:val="none"/>
        </w:rPr>
        <w:t>非故意的未及时报案，</w:t>
      </w:r>
      <w:r>
        <w:rPr>
          <w:rFonts w:hint="eastAsia" w:eastAsia="方正仿宋_GBK" w:cs="Times New Roman"/>
          <w:caps w:val="0"/>
          <w:color w:val="auto"/>
          <w:sz w:val="28"/>
          <w:szCs w:val="28"/>
          <w:highlight w:val="none"/>
          <w:lang w:val="en-US" w:eastAsia="zh-CN"/>
        </w:rPr>
        <w:t>保险人</w:t>
      </w:r>
      <w:r>
        <w:rPr>
          <w:rFonts w:hint="default" w:ascii="Times New Roman" w:hAnsi="Times New Roman" w:eastAsia="方正仿宋_GBK" w:cs="Times New Roman"/>
          <w:caps w:val="0"/>
          <w:color w:val="auto"/>
          <w:sz w:val="28"/>
          <w:szCs w:val="28"/>
          <w:highlight w:val="none"/>
        </w:rPr>
        <w:t>承诺不因此而拒赔。</w:t>
      </w:r>
    </w:p>
    <w:p w14:paraId="2602CCC2">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560" w:firstLineChars="200"/>
        <w:jc w:val="left"/>
        <w:textAlignment w:val="auto"/>
        <w:outlineLvl w:val="9"/>
        <w:rPr>
          <w:rFonts w:hint="default" w:ascii="Times New Roman" w:hAnsi="Times New Roman" w:eastAsia="方正仿宋_GBK" w:cs="Times New Roman"/>
          <w:caps w:val="0"/>
          <w:color w:val="auto"/>
          <w:sz w:val="28"/>
          <w:szCs w:val="28"/>
          <w:highlight w:val="none"/>
        </w:rPr>
      </w:pPr>
      <w:r>
        <w:rPr>
          <w:rFonts w:hint="default" w:ascii="Times New Roman" w:hAnsi="Times New Roman" w:eastAsia="方正仿宋_GBK" w:cs="Times New Roman"/>
          <w:caps w:val="0"/>
          <w:color w:val="auto"/>
          <w:sz w:val="28"/>
          <w:szCs w:val="28"/>
          <w:highlight w:val="none"/>
        </w:rPr>
        <w:t>（2）以下情况，</w:t>
      </w:r>
      <w:r>
        <w:rPr>
          <w:rFonts w:hint="eastAsia" w:eastAsia="方正仿宋_GBK" w:cs="Times New Roman"/>
          <w:caps w:val="0"/>
          <w:color w:val="auto"/>
          <w:sz w:val="28"/>
          <w:szCs w:val="28"/>
          <w:highlight w:val="none"/>
          <w:lang w:eastAsia="zh-CN"/>
        </w:rPr>
        <w:t>保险人</w:t>
      </w:r>
      <w:r>
        <w:rPr>
          <w:rFonts w:hint="default" w:ascii="Times New Roman" w:hAnsi="Times New Roman" w:eastAsia="方正仿宋_GBK" w:cs="Times New Roman"/>
          <w:caps w:val="0"/>
          <w:color w:val="auto"/>
          <w:sz w:val="28"/>
          <w:szCs w:val="28"/>
          <w:highlight w:val="none"/>
        </w:rPr>
        <w:t>应视同为及时报案：</w:t>
      </w:r>
    </w:p>
    <w:p w14:paraId="4E8EDDD0">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560" w:firstLineChars="200"/>
        <w:jc w:val="left"/>
        <w:textAlignment w:val="auto"/>
        <w:outlineLvl w:val="9"/>
        <w:rPr>
          <w:rFonts w:hint="default" w:ascii="Times New Roman" w:hAnsi="Times New Roman" w:eastAsia="方正仿宋_GBK" w:cs="Times New Roman"/>
          <w:caps w:val="0"/>
          <w:color w:val="auto"/>
          <w:sz w:val="28"/>
          <w:szCs w:val="28"/>
          <w:highlight w:val="none"/>
        </w:rPr>
      </w:pPr>
      <w:r>
        <w:rPr>
          <w:rFonts w:hint="default" w:ascii="Times New Roman" w:hAnsi="Times New Roman" w:eastAsia="方正仿宋_GBK" w:cs="Times New Roman"/>
          <w:caps w:val="0"/>
          <w:color w:val="auto"/>
          <w:sz w:val="28"/>
          <w:szCs w:val="28"/>
          <w:highlight w:val="none"/>
        </w:rPr>
        <w:t>对于可从公共媒体包括电视台、权威互联网站等其他途径已经及时知道或者应当及时知道保险事故发生的；</w:t>
      </w:r>
    </w:p>
    <w:p w14:paraId="21ED551A">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560" w:firstLineChars="200"/>
        <w:jc w:val="left"/>
        <w:textAlignment w:val="auto"/>
        <w:outlineLvl w:val="9"/>
        <w:rPr>
          <w:rFonts w:hint="default" w:ascii="Times New Roman" w:hAnsi="Times New Roman" w:eastAsia="方正仿宋_GBK" w:cs="Times New Roman"/>
          <w:caps w:val="0"/>
          <w:color w:val="auto"/>
          <w:sz w:val="28"/>
          <w:szCs w:val="28"/>
          <w:highlight w:val="none"/>
        </w:rPr>
      </w:pPr>
      <w:r>
        <w:rPr>
          <w:rFonts w:hint="default" w:ascii="Times New Roman" w:hAnsi="Times New Roman" w:eastAsia="方正仿宋_GBK" w:cs="Times New Roman"/>
          <w:caps w:val="0"/>
          <w:color w:val="auto"/>
          <w:sz w:val="28"/>
          <w:szCs w:val="28"/>
          <w:highlight w:val="none"/>
        </w:rPr>
        <w:t>如因不可抗力因素无法及时报案，</w:t>
      </w:r>
      <w:r>
        <w:rPr>
          <w:rFonts w:hint="eastAsia" w:eastAsia="方正仿宋_GBK" w:cs="Times New Roman"/>
          <w:caps w:val="0"/>
          <w:color w:val="auto"/>
          <w:sz w:val="28"/>
          <w:szCs w:val="28"/>
          <w:highlight w:val="none"/>
          <w:lang w:eastAsia="zh-CN"/>
        </w:rPr>
        <w:t>保险人</w:t>
      </w:r>
      <w:r>
        <w:rPr>
          <w:rFonts w:hint="default" w:ascii="Times New Roman" w:hAnsi="Times New Roman" w:eastAsia="方正仿宋_GBK" w:cs="Times New Roman"/>
          <w:caps w:val="0"/>
          <w:color w:val="auto"/>
          <w:sz w:val="28"/>
          <w:szCs w:val="28"/>
          <w:highlight w:val="none"/>
        </w:rPr>
        <w:t>认可被</w:t>
      </w:r>
      <w:r>
        <w:rPr>
          <w:rFonts w:hint="eastAsia" w:eastAsia="方正仿宋_GBK" w:cs="Times New Roman"/>
          <w:caps w:val="0"/>
          <w:color w:val="auto"/>
          <w:sz w:val="28"/>
          <w:szCs w:val="28"/>
          <w:highlight w:val="none"/>
          <w:lang w:eastAsia="zh-CN"/>
        </w:rPr>
        <w:t>保险人</w:t>
      </w:r>
      <w:r>
        <w:rPr>
          <w:rFonts w:hint="default" w:ascii="Times New Roman" w:hAnsi="Times New Roman" w:eastAsia="方正仿宋_GBK" w:cs="Times New Roman"/>
          <w:caps w:val="0"/>
          <w:color w:val="auto"/>
          <w:sz w:val="28"/>
          <w:szCs w:val="28"/>
          <w:highlight w:val="none"/>
        </w:rPr>
        <w:t>事后出具的书面说明，并视同为及时报案予以受理。</w:t>
      </w:r>
    </w:p>
    <w:p w14:paraId="2140C15A">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560" w:firstLineChars="200"/>
        <w:jc w:val="left"/>
        <w:textAlignment w:val="auto"/>
        <w:outlineLvl w:val="9"/>
        <w:rPr>
          <w:rFonts w:hint="default" w:ascii="Times New Roman" w:hAnsi="Times New Roman" w:eastAsia="方正仿宋_GBK" w:cs="Times New Roman"/>
          <w:caps w:val="0"/>
          <w:color w:val="auto"/>
          <w:sz w:val="28"/>
          <w:szCs w:val="28"/>
          <w:highlight w:val="none"/>
        </w:rPr>
      </w:pPr>
      <w:r>
        <w:rPr>
          <w:rFonts w:hint="default" w:ascii="Times New Roman" w:hAnsi="Times New Roman" w:eastAsia="方正仿宋_GBK" w:cs="Times New Roman"/>
          <w:caps w:val="0"/>
          <w:color w:val="auto"/>
          <w:sz w:val="28"/>
          <w:szCs w:val="28"/>
          <w:highlight w:val="none"/>
        </w:rPr>
        <w:t>（3）对于做销案处理的案件，如受害方在法律规定的索赔时效期间内向</w:t>
      </w:r>
      <w:r>
        <w:rPr>
          <w:rFonts w:hint="eastAsia" w:eastAsia="方正仿宋_GBK" w:cs="Times New Roman"/>
          <w:caps w:val="0"/>
          <w:color w:val="auto"/>
          <w:sz w:val="28"/>
          <w:szCs w:val="28"/>
          <w:highlight w:val="none"/>
          <w:lang w:val="en-US" w:eastAsia="zh-CN"/>
        </w:rPr>
        <w:t>被保险人</w:t>
      </w:r>
      <w:r>
        <w:rPr>
          <w:rFonts w:hint="default" w:ascii="Times New Roman" w:hAnsi="Times New Roman" w:eastAsia="方正仿宋_GBK" w:cs="Times New Roman"/>
          <w:caps w:val="0"/>
          <w:color w:val="auto"/>
          <w:sz w:val="28"/>
          <w:szCs w:val="28"/>
          <w:highlight w:val="none"/>
        </w:rPr>
        <w:t>提出索赔的，</w:t>
      </w:r>
      <w:r>
        <w:rPr>
          <w:rFonts w:hint="eastAsia" w:eastAsia="方正仿宋_GBK" w:cs="Times New Roman"/>
          <w:caps w:val="0"/>
          <w:color w:val="auto"/>
          <w:sz w:val="28"/>
          <w:szCs w:val="28"/>
          <w:highlight w:val="none"/>
          <w:lang w:eastAsia="zh-CN"/>
        </w:rPr>
        <w:t>保险人</w:t>
      </w:r>
      <w:r>
        <w:rPr>
          <w:rFonts w:hint="default" w:ascii="Times New Roman" w:hAnsi="Times New Roman" w:eastAsia="方正仿宋_GBK" w:cs="Times New Roman"/>
          <w:caps w:val="0"/>
          <w:color w:val="auto"/>
          <w:sz w:val="28"/>
          <w:szCs w:val="28"/>
          <w:highlight w:val="none"/>
        </w:rPr>
        <w:t>接受重新立案。</w:t>
      </w:r>
    </w:p>
    <w:p w14:paraId="78CBCDD5">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560" w:firstLineChars="200"/>
        <w:jc w:val="left"/>
        <w:textAlignment w:val="auto"/>
        <w:outlineLvl w:val="9"/>
        <w:rPr>
          <w:rFonts w:hint="default" w:ascii="Times New Roman" w:hAnsi="Times New Roman" w:eastAsia="方正仿宋_GBK" w:cs="Times New Roman"/>
          <w:b/>
          <w:bCs/>
          <w:caps w:val="0"/>
          <w:color w:val="auto"/>
          <w:sz w:val="28"/>
          <w:szCs w:val="28"/>
          <w:highlight w:val="none"/>
        </w:rPr>
      </w:pPr>
      <w:r>
        <w:rPr>
          <w:rFonts w:hint="default" w:ascii="Times New Roman" w:hAnsi="Times New Roman" w:eastAsia="方正仿宋_GBK" w:cs="Times New Roman"/>
          <w:b/>
          <w:bCs/>
          <w:caps w:val="0"/>
          <w:color w:val="auto"/>
          <w:sz w:val="28"/>
          <w:szCs w:val="28"/>
          <w:highlight w:val="none"/>
        </w:rPr>
        <w:t>2</w:t>
      </w:r>
      <w:r>
        <w:rPr>
          <w:rFonts w:hint="eastAsia" w:ascii="Times New Roman" w:hAnsi="Times New Roman" w:eastAsia="方正仿宋_GBK" w:cs="Times New Roman"/>
          <w:b/>
          <w:bCs/>
          <w:caps w:val="0"/>
          <w:color w:val="auto"/>
          <w:sz w:val="28"/>
          <w:szCs w:val="28"/>
          <w:highlight w:val="none"/>
          <w:lang w:eastAsia="zh-CN"/>
        </w:rPr>
        <w:t>.</w:t>
      </w:r>
      <w:r>
        <w:rPr>
          <w:rFonts w:hint="default" w:ascii="Times New Roman" w:hAnsi="Times New Roman" w:eastAsia="方正仿宋_GBK" w:cs="Times New Roman"/>
          <w:b/>
          <w:bCs/>
          <w:caps w:val="0"/>
          <w:color w:val="auto"/>
          <w:sz w:val="28"/>
          <w:szCs w:val="28"/>
          <w:highlight w:val="none"/>
        </w:rPr>
        <w:t>现场查勘</w:t>
      </w:r>
    </w:p>
    <w:p w14:paraId="5300457A">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560" w:firstLineChars="200"/>
        <w:jc w:val="left"/>
        <w:textAlignment w:val="auto"/>
        <w:outlineLvl w:val="9"/>
        <w:rPr>
          <w:rFonts w:hint="default" w:ascii="Times New Roman" w:hAnsi="Times New Roman" w:eastAsia="方正仿宋_GBK" w:cs="Times New Roman"/>
          <w:caps w:val="0"/>
          <w:color w:val="auto"/>
          <w:sz w:val="28"/>
          <w:szCs w:val="28"/>
          <w:highlight w:val="none"/>
        </w:rPr>
      </w:pPr>
      <w:r>
        <w:rPr>
          <w:rFonts w:hint="default" w:ascii="Times New Roman" w:hAnsi="Times New Roman" w:eastAsia="方正仿宋_GBK" w:cs="Times New Roman"/>
          <w:caps w:val="0"/>
          <w:color w:val="auto"/>
          <w:sz w:val="28"/>
          <w:szCs w:val="28"/>
          <w:highlight w:val="none"/>
        </w:rPr>
        <w:t>（1）</w:t>
      </w:r>
      <w:r>
        <w:rPr>
          <w:rFonts w:hint="eastAsia" w:eastAsia="方正仿宋_GBK" w:cs="Times New Roman"/>
          <w:caps w:val="0"/>
          <w:color w:val="auto"/>
          <w:sz w:val="28"/>
          <w:szCs w:val="28"/>
          <w:highlight w:val="none"/>
          <w:lang w:eastAsia="zh-CN"/>
        </w:rPr>
        <w:t>保险人</w:t>
      </w:r>
      <w:r>
        <w:rPr>
          <w:rFonts w:hint="default" w:ascii="Times New Roman" w:hAnsi="Times New Roman" w:eastAsia="方正仿宋_GBK" w:cs="Times New Roman"/>
          <w:caps w:val="0"/>
          <w:color w:val="auto"/>
          <w:sz w:val="28"/>
          <w:szCs w:val="28"/>
          <w:highlight w:val="none"/>
        </w:rPr>
        <w:t>在接到报案后，应在</w:t>
      </w:r>
      <w:r>
        <w:rPr>
          <w:rFonts w:hint="eastAsia" w:ascii="Times New Roman" w:hAnsi="Times New Roman" w:eastAsia="方正仿宋_GBK" w:cs="Times New Roman"/>
          <w:caps w:val="0"/>
          <w:color w:val="auto"/>
          <w:sz w:val="28"/>
          <w:szCs w:val="28"/>
          <w:highlight w:val="none"/>
          <w:lang w:val="en-US" w:eastAsia="zh-CN"/>
        </w:rPr>
        <w:t>1</w:t>
      </w:r>
      <w:r>
        <w:rPr>
          <w:rFonts w:hint="default" w:ascii="Times New Roman" w:hAnsi="Times New Roman" w:eastAsia="方正仿宋_GBK" w:cs="Times New Roman"/>
          <w:caps w:val="0"/>
          <w:color w:val="auto"/>
          <w:sz w:val="28"/>
          <w:szCs w:val="28"/>
          <w:highlight w:val="none"/>
        </w:rPr>
        <w:t>小时内以书面</w:t>
      </w:r>
      <w:r>
        <w:rPr>
          <w:rFonts w:hint="eastAsia" w:ascii="Times New Roman" w:hAnsi="Times New Roman" w:eastAsia="方正仿宋_GBK" w:cs="Times New Roman"/>
          <w:caps w:val="0"/>
          <w:color w:val="auto"/>
          <w:sz w:val="28"/>
          <w:szCs w:val="28"/>
          <w:highlight w:val="none"/>
          <w:lang w:eastAsia="zh-CN"/>
        </w:rPr>
        <w:t>、</w:t>
      </w:r>
      <w:r>
        <w:rPr>
          <w:rFonts w:hint="default" w:ascii="Times New Roman" w:hAnsi="Times New Roman" w:eastAsia="方正仿宋_GBK" w:cs="Times New Roman"/>
          <w:caps w:val="0"/>
          <w:color w:val="auto"/>
          <w:sz w:val="28"/>
          <w:szCs w:val="28"/>
          <w:highlight w:val="none"/>
        </w:rPr>
        <w:t>网络或其他双方认可的方式及时向</w:t>
      </w:r>
      <w:r>
        <w:rPr>
          <w:rFonts w:hint="eastAsia" w:eastAsia="方正仿宋_GBK" w:cs="Times New Roman"/>
          <w:caps w:val="0"/>
          <w:color w:val="auto"/>
          <w:sz w:val="28"/>
          <w:szCs w:val="28"/>
          <w:highlight w:val="none"/>
          <w:lang w:eastAsia="zh-CN"/>
        </w:rPr>
        <w:t>被保险人</w:t>
      </w:r>
      <w:r>
        <w:rPr>
          <w:rFonts w:hint="default" w:ascii="Times New Roman" w:hAnsi="Times New Roman" w:eastAsia="方正仿宋_GBK" w:cs="Times New Roman"/>
          <w:caps w:val="0"/>
          <w:color w:val="auto"/>
          <w:sz w:val="28"/>
          <w:szCs w:val="28"/>
          <w:highlight w:val="none"/>
          <w:lang w:eastAsia="zh-CN"/>
        </w:rPr>
        <w:t>回复是否进行现场查勘</w:t>
      </w:r>
      <w:r>
        <w:rPr>
          <w:rFonts w:hint="default" w:ascii="Times New Roman" w:hAnsi="Times New Roman" w:eastAsia="方正仿宋_GBK" w:cs="Times New Roman"/>
          <w:caps w:val="0"/>
          <w:color w:val="auto"/>
          <w:sz w:val="28"/>
          <w:szCs w:val="28"/>
          <w:highlight w:val="none"/>
        </w:rPr>
        <w:t>，如不进行现场查勘，</w:t>
      </w:r>
      <w:r>
        <w:rPr>
          <w:rFonts w:hint="eastAsia" w:eastAsia="方正仿宋_GBK" w:cs="Times New Roman"/>
          <w:caps w:val="0"/>
          <w:color w:val="auto"/>
          <w:sz w:val="28"/>
          <w:szCs w:val="28"/>
          <w:highlight w:val="none"/>
          <w:lang w:eastAsia="zh-CN"/>
        </w:rPr>
        <w:t>保险人</w:t>
      </w:r>
      <w:r>
        <w:rPr>
          <w:rFonts w:hint="default" w:ascii="Times New Roman" w:hAnsi="Times New Roman" w:eastAsia="方正仿宋_GBK" w:cs="Times New Roman"/>
          <w:caps w:val="0"/>
          <w:color w:val="auto"/>
          <w:sz w:val="28"/>
          <w:szCs w:val="28"/>
          <w:highlight w:val="none"/>
        </w:rPr>
        <w:t>同意以</w:t>
      </w:r>
      <w:r>
        <w:rPr>
          <w:rFonts w:hint="eastAsia" w:eastAsia="方正仿宋_GBK" w:cs="Times New Roman"/>
          <w:caps w:val="0"/>
          <w:color w:val="auto"/>
          <w:sz w:val="28"/>
          <w:szCs w:val="28"/>
          <w:highlight w:val="none"/>
          <w:lang w:eastAsia="zh-CN"/>
        </w:rPr>
        <w:t>被保险人</w:t>
      </w:r>
      <w:r>
        <w:rPr>
          <w:rFonts w:hint="default" w:ascii="Times New Roman" w:hAnsi="Times New Roman" w:eastAsia="方正仿宋_GBK" w:cs="Times New Roman"/>
          <w:caps w:val="0"/>
          <w:color w:val="auto"/>
          <w:sz w:val="28"/>
          <w:szCs w:val="28"/>
          <w:highlight w:val="none"/>
        </w:rPr>
        <w:t>提供的索赔材料做为理赔依据。</w:t>
      </w:r>
    </w:p>
    <w:p w14:paraId="1FA48CBE">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560" w:firstLineChars="200"/>
        <w:jc w:val="left"/>
        <w:textAlignment w:val="auto"/>
        <w:outlineLvl w:val="9"/>
        <w:rPr>
          <w:rFonts w:hint="default" w:ascii="Times New Roman" w:hAnsi="Times New Roman" w:eastAsia="方正仿宋_GBK" w:cs="Times New Roman"/>
          <w:caps w:val="0"/>
          <w:color w:val="auto"/>
          <w:sz w:val="28"/>
          <w:szCs w:val="28"/>
          <w:highlight w:val="none"/>
        </w:rPr>
      </w:pPr>
      <w:r>
        <w:rPr>
          <w:rFonts w:hint="default" w:ascii="Times New Roman" w:hAnsi="Times New Roman" w:eastAsia="方正仿宋_GBK" w:cs="Times New Roman"/>
          <w:caps w:val="0"/>
          <w:color w:val="auto"/>
          <w:sz w:val="28"/>
          <w:szCs w:val="28"/>
          <w:highlight w:val="none"/>
        </w:rPr>
        <w:t>（2）如进行现场查勘，</w:t>
      </w:r>
      <w:r>
        <w:rPr>
          <w:rFonts w:hint="eastAsia" w:eastAsia="方正仿宋_GBK" w:cs="Times New Roman"/>
          <w:caps w:val="0"/>
          <w:color w:val="auto"/>
          <w:sz w:val="28"/>
          <w:szCs w:val="28"/>
          <w:highlight w:val="none"/>
          <w:lang w:eastAsia="zh-CN"/>
        </w:rPr>
        <w:t>保险人</w:t>
      </w:r>
      <w:r>
        <w:rPr>
          <w:rFonts w:hint="default" w:ascii="Times New Roman" w:hAnsi="Times New Roman" w:eastAsia="方正仿宋_GBK" w:cs="Times New Roman"/>
          <w:caps w:val="0"/>
          <w:color w:val="auto"/>
          <w:sz w:val="28"/>
          <w:szCs w:val="28"/>
          <w:highlight w:val="none"/>
        </w:rPr>
        <w:t>的查勘理赔人员</w:t>
      </w:r>
      <w:r>
        <w:rPr>
          <w:rFonts w:hint="eastAsia" w:ascii="Times New Roman" w:hAnsi="Times New Roman" w:eastAsia="方正仿宋_GBK" w:cs="Times New Roman"/>
          <w:caps w:val="0"/>
          <w:color w:val="auto"/>
          <w:sz w:val="28"/>
          <w:szCs w:val="28"/>
          <w:highlight w:val="none"/>
          <w:lang w:val="en-US" w:eastAsia="zh-CN"/>
        </w:rPr>
        <w:t>应在</w:t>
      </w:r>
      <w:r>
        <w:rPr>
          <w:rFonts w:hint="default" w:ascii="Times New Roman" w:hAnsi="Times New Roman" w:eastAsia="方正仿宋_GBK" w:cs="Times New Roman"/>
          <w:caps w:val="0"/>
          <w:color w:val="auto"/>
          <w:sz w:val="28"/>
          <w:szCs w:val="28"/>
          <w:highlight w:val="none"/>
        </w:rPr>
        <w:t>接到报案后应在</w:t>
      </w:r>
      <w:r>
        <w:rPr>
          <w:rFonts w:hint="eastAsia" w:ascii="Times New Roman" w:hAnsi="Times New Roman" w:eastAsia="方正仿宋_GBK" w:cs="Times New Roman"/>
          <w:caps w:val="0"/>
          <w:color w:val="auto"/>
          <w:sz w:val="28"/>
          <w:szCs w:val="28"/>
          <w:highlight w:val="none"/>
          <w:lang w:val="en-US" w:eastAsia="zh-CN"/>
        </w:rPr>
        <w:t>3</w:t>
      </w:r>
      <w:r>
        <w:rPr>
          <w:rFonts w:hint="default" w:ascii="Times New Roman" w:hAnsi="Times New Roman" w:eastAsia="方正仿宋_GBK" w:cs="Times New Roman"/>
          <w:caps w:val="0"/>
          <w:color w:val="auto"/>
          <w:sz w:val="28"/>
          <w:szCs w:val="28"/>
          <w:highlight w:val="none"/>
        </w:rPr>
        <w:t>小时内赶到事故现场</w:t>
      </w:r>
      <w:r>
        <w:rPr>
          <w:rFonts w:hint="default" w:ascii="Times New Roman" w:hAnsi="Times New Roman" w:eastAsia="方正仿宋_GBK" w:cs="Times New Roman"/>
          <w:caps w:val="0"/>
          <w:color w:val="auto"/>
          <w:sz w:val="28"/>
          <w:szCs w:val="28"/>
          <w:highlight w:val="none"/>
          <w:lang w:eastAsia="zh-CN"/>
        </w:rPr>
        <w:t>，</w:t>
      </w:r>
      <w:r>
        <w:rPr>
          <w:rFonts w:hint="default" w:ascii="Times New Roman" w:hAnsi="Times New Roman" w:eastAsia="方正仿宋_GBK" w:cs="Times New Roman"/>
          <w:caps w:val="0"/>
          <w:color w:val="auto"/>
          <w:sz w:val="28"/>
          <w:szCs w:val="28"/>
          <w:highlight w:val="none"/>
        </w:rPr>
        <w:t>否则，</w:t>
      </w:r>
      <w:r>
        <w:rPr>
          <w:rFonts w:hint="eastAsia" w:eastAsia="方正仿宋_GBK" w:cs="Times New Roman"/>
          <w:caps w:val="0"/>
          <w:color w:val="auto"/>
          <w:sz w:val="28"/>
          <w:szCs w:val="28"/>
          <w:highlight w:val="none"/>
          <w:lang w:eastAsia="zh-CN"/>
        </w:rPr>
        <w:t>被保险人</w:t>
      </w:r>
      <w:r>
        <w:rPr>
          <w:rFonts w:hint="default" w:ascii="Times New Roman" w:hAnsi="Times New Roman" w:eastAsia="方正仿宋_GBK" w:cs="Times New Roman"/>
          <w:caps w:val="0"/>
          <w:color w:val="auto"/>
          <w:sz w:val="28"/>
          <w:szCs w:val="28"/>
          <w:highlight w:val="none"/>
        </w:rPr>
        <w:t>有权自行处理事故现场，只保留事故现场的有关照片及有关实物证据。</w:t>
      </w:r>
    </w:p>
    <w:p w14:paraId="054A2A78">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560" w:firstLineChars="200"/>
        <w:jc w:val="left"/>
        <w:textAlignment w:val="auto"/>
        <w:outlineLvl w:val="9"/>
        <w:rPr>
          <w:rFonts w:hint="default" w:ascii="Times New Roman" w:hAnsi="Times New Roman" w:eastAsia="方正仿宋_GBK" w:cs="Times New Roman"/>
          <w:caps w:val="0"/>
          <w:color w:val="auto"/>
          <w:sz w:val="28"/>
          <w:szCs w:val="28"/>
          <w:highlight w:val="none"/>
        </w:rPr>
      </w:pPr>
      <w:r>
        <w:rPr>
          <w:rFonts w:hint="default" w:ascii="Times New Roman" w:hAnsi="Times New Roman" w:eastAsia="方正仿宋_GBK" w:cs="Times New Roman"/>
          <w:caps w:val="0"/>
          <w:color w:val="auto"/>
          <w:sz w:val="28"/>
          <w:szCs w:val="28"/>
          <w:highlight w:val="none"/>
        </w:rPr>
        <w:t>（3）</w:t>
      </w:r>
      <w:r>
        <w:rPr>
          <w:rFonts w:hint="eastAsia" w:eastAsia="方正仿宋_GBK" w:cs="Times New Roman"/>
          <w:caps w:val="0"/>
          <w:color w:val="auto"/>
          <w:sz w:val="28"/>
          <w:szCs w:val="28"/>
          <w:highlight w:val="none"/>
          <w:lang w:eastAsia="zh-CN"/>
        </w:rPr>
        <w:t>保险人</w:t>
      </w:r>
      <w:r>
        <w:rPr>
          <w:rFonts w:hint="default" w:ascii="Times New Roman" w:hAnsi="Times New Roman" w:eastAsia="方正仿宋_GBK" w:cs="Times New Roman"/>
          <w:caps w:val="0"/>
          <w:color w:val="auto"/>
          <w:sz w:val="28"/>
          <w:szCs w:val="28"/>
          <w:highlight w:val="none"/>
        </w:rPr>
        <w:t>同意在进行现场查勘前，如情况紧急必须尽快恢复运营的，</w:t>
      </w:r>
      <w:r>
        <w:rPr>
          <w:rFonts w:hint="eastAsia" w:eastAsia="方正仿宋_GBK" w:cs="Times New Roman"/>
          <w:caps w:val="0"/>
          <w:color w:val="auto"/>
          <w:sz w:val="28"/>
          <w:szCs w:val="28"/>
          <w:highlight w:val="none"/>
          <w:lang w:eastAsia="zh-CN"/>
        </w:rPr>
        <w:t>被保险人</w:t>
      </w:r>
      <w:r>
        <w:rPr>
          <w:rFonts w:hint="default" w:ascii="Times New Roman" w:hAnsi="Times New Roman" w:eastAsia="方正仿宋_GBK" w:cs="Times New Roman"/>
          <w:caps w:val="0"/>
          <w:color w:val="auto"/>
          <w:sz w:val="28"/>
          <w:szCs w:val="28"/>
          <w:highlight w:val="none"/>
        </w:rPr>
        <w:t>可以进行施救、修复或人员救治，但</w:t>
      </w:r>
      <w:r>
        <w:rPr>
          <w:rFonts w:hint="eastAsia" w:eastAsia="方正仿宋_GBK" w:cs="Times New Roman"/>
          <w:caps w:val="0"/>
          <w:color w:val="auto"/>
          <w:sz w:val="28"/>
          <w:szCs w:val="28"/>
          <w:highlight w:val="none"/>
          <w:lang w:eastAsia="zh-CN"/>
        </w:rPr>
        <w:t>被保险人</w:t>
      </w:r>
      <w:r>
        <w:rPr>
          <w:rFonts w:hint="default" w:ascii="Times New Roman" w:hAnsi="Times New Roman" w:eastAsia="方正仿宋_GBK" w:cs="Times New Roman"/>
          <w:caps w:val="0"/>
          <w:color w:val="auto"/>
          <w:sz w:val="28"/>
          <w:szCs w:val="28"/>
          <w:highlight w:val="none"/>
        </w:rPr>
        <w:t>应保留相关照片、更新下的实物证据及有关损失现场的材料。</w:t>
      </w:r>
    </w:p>
    <w:p w14:paraId="1329645B">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560" w:firstLineChars="200"/>
        <w:jc w:val="left"/>
        <w:textAlignment w:val="auto"/>
        <w:outlineLvl w:val="9"/>
        <w:rPr>
          <w:rFonts w:hint="default" w:ascii="Times New Roman" w:hAnsi="Times New Roman" w:eastAsia="方正仿宋_GBK" w:cs="Times New Roman"/>
          <w:caps w:val="0"/>
          <w:color w:val="auto"/>
          <w:sz w:val="28"/>
          <w:szCs w:val="28"/>
          <w:highlight w:val="none"/>
        </w:rPr>
      </w:pPr>
      <w:r>
        <w:rPr>
          <w:rFonts w:hint="default" w:ascii="Times New Roman" w:hAnsi="Times New Roman" w:eastAsia="方正仿宋_GBK" w:cs="Times New Roman"/>
          <w:caps w:val="0"/>
          <w:color w:val="auto"/>
          <w:sz w:val="28"/>
          <w:szCs w:val="28"/>
          <w:highlight w:val="none"/>
        </w:rPr>
        <w:t>（4）查勘人员到达事故现场后，应立即查明出险时间、地点、原因，并应配合</w:t>
      </w:r>
      <w:r>
        <w:rPr>
          <w:rFonts w:hint="eastAsia" w:eastAsia="方正仿宋_GBK" w:cs="Times New Roman"/>
          <w:caps w:val="0"/>
          <w:color w:val="auto"/>
          <w:sz w:val="28"/>
          <w:szCs w:val="28"/>
          <w:highlight w:val="none"/>
          <w:lang w:eastAsia="zh-CN"/>
        </w:rPr>
        <w:t>被保险人</w:t>
      </w:r>
      <w:r>
        <w:rPr>
          <w:rFonts w:hint="default" w:ascii="Times New Roman" w:hAnsi="Times New Roman" w:eastAsia="方正仿宋_GBK" w:cs="Times New Roman"/>
          <w:caps w:val="0"/>
          <w:color w:val="auto"/>
          <w:sz w:val="28"/>
          <w:szCs w:val="28"/>
          <w:highlight w:val="none"/>
        </w:rPr>
        <w:t>做好必要的施救工作以及受损财产的保护、整理工作。现场查勘工作主要包括：</w:t>
      </w:r>
    </w:p>
    <w:p w14:paraId="244C2DDE">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560" w:firstLineChars="200"/>
        <w:jc w:val="left"/>
        <w:textAlignment w:val="auto"/>
        <w:outlineLvl w:val="9"/>
        <w:rPr>
          <w:rFonts w:hint="default" w:ascii="Times New Roman" w:hAnsi="Times New Roman" w:eastAsia="方正仿宋_GBK" w:cs="Times New Roman"/>
          <w:caps w:val="0"/>
          <w:color w:val="auto"/>
          <w:sz w:val="28"/>
          <w:szCs w:val="28"/>
          <w:highlight w:val="none"/>
        </w:rPr>
      </w:pPr>
      <w:r>
        <w:rPr>
          <w:rFonts w:hint="eastAsia" w:ascii="Times New Roman" w:hAnsi="Times New Roman" w:eastAsia="方正仿宋_GBK" w:cs="Times New Roman"/>
          <w:caps w:val="0"/>
          <w:color w:val="auto"/>
          <w:sz w:val="28"/>
          <w:szCs w:val="28"/>
          <w:highlight w:val="none"/>
          <w:lang w:val="en-US" w:eastAsia="zh-CN"/>
        </w:rPr>
        <w:t>①</w:t>
      </w:r>
      <w:r>
        <w:rPr>
          <w:rFonts w:hint="default" w:ascii="Times New Roman" w:hAnsi="Times New Roman" w:eastAsia="方正仿宋_GBK" w:cs="Times New Roman"/>
          <w:caps w:val="0"/>
          <w:color w:val="auto"/>
          <w:sz w:val="28"/>
          <w:szCs w:val="28"/>
          <w:highlight w:val="none"/>
        </w:rPr>
        <w:t>会同</w:t>
      </w:r>
      <w:r>
        <w:rPr>
          <w:rFonts w:hint="eastAsia" w:eastAsia="方正仿宋_GBK" w:cs="Times New Roman"/>
          <w:caps w:val="0"/>
          <w:color w:val="auto"/>
          <w:sz w:val="28"/>
          <w:szCs w:val="28"/>
          <w:highlight w:val="none"/>
          <w:lang w:eastAsia="zh-CN"/>
        </w:rPr>
        <w:t>被保险人</w:t>
      </w:r>
      <w:r>
        <w:rPr>
          <w:rFonts w:hint="default" w:ascii="Times New Roman" w:hAnsi="Times New Roman" w:eastAsia="方正仿宋_GBK" w:cs="Times New Roman"/>
          <w:caps w:val="0"/>
          <w:color w:val="auto"/>
          <w:sz w:val="28"/>
          <w:szCs w:val="28"/>
          <w:highlight w:val="none"/>
        </w:rPr>
        <w:t>相关人员进行现场查勘，了解事故原因，对损失现场和损失财产进行必要的拍照；</w:t>
      </w:r>
    </w:p>
    <w:p w14:paraId="330B0EA3">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560" w:firstLineChars="200"/>
        <w:jc w:val="left"/>
        <w:textAlignment w:val="auto"/>
        <w:outlineLvl w:val="9"/>
        <w:rPr>
          <w:rFonts w:hint="default" w:ascii="Times New Roman" w:hAnsi="Times New Roman" w:eastAsia="方正仿宋_GBK" w:cs="Times New Roman"/>
          <w:caps w:val="0"/>
          <w:color w:val="auto"/>
          <w:sz w:val="28"/>
          <w:szCs w:val="28"/>
          <w:highlight w:val="none"/>
        </w:rPr>
      </w:pPr>
      <w:r>
        <w:rPr>
          <w:rFonts w:hint="eastAsia" w:ascii="Times New Roman" w:hAnsi="Times New Roman" w:eastAsia="方正仿宋_GBK" w:cs="Times New Roman"/>
          <w:caps w:val="0"/>
          <w:color w:val="auto"/>
          <w:sz w:val="28"/>
          <w:szCs w:val="28"/>
          <w:highlight w:val="none"/>
          <w:lang w:val="en-US" w:eastAsia="zh-CN"/>
        </w:rPr>
        <w:t>②</w:t>
      </w:r>
      <w:r>
        <w:rPr>
          <w:rFonts w:hint="default" w:ascii="Times New Roman" w:hAnsi="Times New Roman" w:eastAsia="方正仿宋_GBK" w:cs="Times New Roman"/>
          <w:caps w:val="0"/>
          <w:color w:val="auto"/>
          <w:sz w:val="28"/>
          <w:szCs w:val="28"/>
          <w:highlight w:val="none"/>
        </w:rPr>
        <w:t>详细了解人员伤亡、财产损失情况，对受损的财产项目名称、数量或人身伤亡情况等进行必要登记；</w:t>
      </w:r>
    </w:p>
    <w:p w14:paraId="11CA2366">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560" w:firstLineChars="200"/>
        <w:jc w:val="left"/>
        <w:textAlignment w:val="auto"/>
        <w:outlineLvl w:val="9"/>
        <w:rPr>
          <w:rFonts w:hint="default" w:ascii="Times New Roman" w:hAnsi="Times New Roman" w:eastAsia="方正仿宋_GBK" w:cs="Times New Roman"/>
          <w:caps w:val="0"/>
          <w:color w:val="auto"/>
          <w:sz w:val="28"/>
          <w:szCs w:val="28"/>
          <w:highlight w:val="none"/>
        </w:rPr>
      </w:pPr>
      <w:r>
        <w:rPr>
          <w:rFonts w:hint="eastAsia" w:ascii="Times New Roman" w:hAnsi="Times New Roman" w:eastAsia="方正仿宋_GBK" w:cs="Times New Roman"/>
          <w:caps w:val="0"/>
          <w:color w:val="auto"/>
          <w:sz w:val="28"/>
          <w:szCs w:val="28"/>
          <w:highlight w:val="none"/>
          <w:lang w:val="en-US" w:eastAsia="zh-CN"/>
        </w:rPr>
        <w:t>③</w:t>
      </w:r>
      <w:r>
        <w:rPr>
          <w:rFonts w:hint="default" w:ascii="Times New Roman" w:hAnsi="Times New Roman" w:eastAsia="方正仿宋_GBK" w:cs="Times New Roman"/>
          <w:caps w:val="0"/>
          <w:color w:val="auto"/>
          <w:sz w:val="28"/>
          <w:szCs w:val="28"/>
          <w:highlight w:val="none"/>
        </w:rPr>
        <w:t>对受损财产的损失程度有分歧的，进行必要的检验；</w:t>
      </w:r>
    </w:p>
    <w:p w14:paraId="0727DA5C">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560" w:firstLineChars="200"/>
        <w:jc w:val="left"/>
        <w:textAlignment w:val="auto"/>
        <w:outlineLvl w:val="9"/>
        <w:rPr>
          <w:rFonts w:hint="default" w:ascii="Times New Roman" w:hAnsi="Times New Roman" w:eastAsia="方正仿宋_GBK" w:cs="Times New Roman"/>
          <w:caps w:val="0"/>
          <w:color w:val="auto"/>
          <w:sz w:val="28"/>
          <w:szCs w:val="28"/>
          <w:highlight w:val="none"/>
        </w:rPr>
      </w:pPr>
      <w:r>
        <w:rPr>
          <w:rFonts w:hint="eastAsia" w:ascii="Times New Roman" w:hAnsi="Times New Roman" w:eastAsia="方正仿宋_GBK" w:cs="Times New Roman"/>
          <w:caps w:val="0"/>
          <w:color w:val="auto"/>
          <w:sz w:val="28"/>
          <w:szCs w:val="28"/>
          <w:highlight w:val="none"/>
          <w:lang w:val="en-US" w:eastAsia="zh-CN"/>
        </w:rPr>
        <w:t>④</w:t>
      </w:r>
      <w:r>
        <w:rPr>
          <w:rFonts w:hint="default" w:ascii="Times New Roman" w:hAnsi="Times New Roman" w:eastAsia="方正仿宋_GBK" w:cs="Times New Roman"/>
          <w:caps w:val="0"/>
          <w:color w:val="auto"/>
          <w:sz w:val="28"/>
          <w:szCs w:val="28"/>
          <w:highlight w:val="none"/>
        </w:rPr>
        <w:t>与</w:t>
      </w:r>
      <w:r>
        <w:rPr>
          <w:rFonts w:hint="eastAsia" w:eastAsia="方正仿宋_GBK" w:cs="Times New Roman"/>
          <w:caps w:val="0"/>
          <w:color w:val="auto"/>
          <w:sz w:val="28"/>
          <w:szCs w:val="28"/>
          <w:highlight w:val="none"/>
          <w:lang w:eastAsia="zh-CN"/>
        </w:rPr>
        <w:t>被保险人</w:t>
      </w:r>
      <w:r>
        <w:rPr>
          <w:rFonts w:hint="default" w:ascii="Times New Roman" w:hAnsi="Times New Roman" w:eastAsia="方正仿宋_GBK" w:cs="Times New Roman"/>
          <w:caps w:val="0"/>
          <w:color w:val="auto"/>
          <w:sz w:val="28"/>
          <w:szCs w:val="28"/>
          <w:highlight w:val="none"/>
        </w:rPr>
        <w:t>商定初步的后续处理方案；</w:t>
      </w:r>
    </w:p>
    <w:p w14:paraId="700A4B45">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560" w:firstLineChars="200"/>
        <w:jc w:val="left"/>
        <w:textAlignment w:val="auto"/>
        <w:outlineLvl w:val="9"/>
        <w:rPr>
          <w:rFonts w:hint="default" w:ascii="Times New Roman" w:hAnsi="Times New Roman" w:eastAsia="方正仿宋_GBK" w:cs="Times New Roman"/>
          <w:caps w:val="0"/>
          <w:color w:val="auto"/>
          <w:sz w:val="28"/>
          <w:szCs w:val="28"/>
          <w:highlight w:val="none"/>
        </w:rPr>
      </w:pPr>
      <w:r>
        <w:rPr>
          <w:rFonts w:hint="eastAsia" w:ascii="Times New Roman" w:hAnsi="Times New Roman" w:eastAsia="方正仿宋_GBK" w:cs="Times New Roman"/>
          <w:caps w:val="0"/>
          <w:color w:val="auto"/>
          <w:sz w:val="28"/>
          <w:szCs w:val="28"/>
          <w:highlight w:val="none"/>
          <w:lang w:val="en-US" w:eastAsia="zh-CN"/>
        </w:rPr>
        <w:t>⑤</w:t>
      </w:r>
      <w:r>
        <w:rPr>
          <w:rFonts w:hint="default" w:ascii="Times New Roman" w:hAnsi="Times New Roman" w:eastAsia="方正仿宋_GBK" w:cs="Times New Roman"/>
          <w:caps w:val="0"/>
          <w:color w:val="auto"/>
          <w:sz w:val="28"/>
          <w:szCs w:val="28"/>
          <w:highlight w:val="none"/>
        </w:rPr>
        <w:t>无异议后，对现场查勘记录进行签字确认（现场查勘记录表由</w:t>
      </w:r>
      <w:r>
        <w:rPr>
          <w:rFonts w:hint="eastAsia" w:eastAsia="方正仿宋_GBK" w:cs="Times New Roman"/>
          <w:caps w:val="0"/>
          <w:color w:val="auto"/>
          <w:sz w:val="28"/>
          <w:szCs w:val="28"/>
          <w:highlight w:val="none"/>
          <w:lang w:eastAsia="zh-CN"/>
        </w:rPr>
        <w:t>保险人</w:t>
      </w:r>
      <w:r>
        <w:rPr>
          <w:rFonts w:hint="default" w:ascii="Times New Roman" w:hAnsi="Times New Roman" w:eastAsia="方正仿宋_GBK" w:cs="Times New Roman"/>
          <w:caps w:val="0"/>
          <w:color w:val="auto"/>
          <w:sz w:val="28"/>
          <w:szCs w:val="28"/>
          <w:highlight w:val="none"/>
        </w:rPr>
        <w:t>提供）。</w:t>
      </w:r>
    </w:p>
    <w:p w14:paraId="1046BDA2">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560" w:firstLineChars="200"/>
        <w:jc w:val="left"/>
        <w:textAlignment w:val="auto"/>
        <w:outlineLvl w:val="9"/>
        <w:rPr>
          <w:rFonts w:hint="default" w:ascii="Times New Roman" w:hAnsi="Times New Roman" w:eastAsia="方正仿宋_GBK" w:cs="Times New Roman"/>
          <w:caps w:val="0"/>
          <w:color w:val="auto"/>
          <w:sz w:val="28"/>
          <w:szCs w:val="28"/>
          <w:highlight w:val="none"/>
        </w:rPr>
      </w:pPr>
      <w:r>
        <w:rPr>
          <w:rFonts w:hint="default" w:ascii="Times New Roman" w:hAnsi="Times New Roman" w:eastAsia="方正仿宋_GBK" w:cs="Times New Roman"/>
          <w:caps w:val="0"/>
          <w:color w:val="auto"/>
          <w:sz w:val="28"/>
          <w:szCs w:val="28"/>
          <w:highlight w:val="none"/>
        </w:rPr>
        <w:t>（5）查勘人员现场查勘后应根据现场情况对责任和损失进行初步判定，并对事故现场给出明确的后续处理方案和以书面形式提供索赔所需单证列表。</w:t>
      </w:r>
    </w:p>
    <w:p w14:paraId="02C1C2EB">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560" w:firstLineChars="200"/>
        <w:jc w:val="left"/>
        <w:textAlignment w:val="auto"/>
        <w:outlineLvl w:val="9"/>
        <w:rPr>
          <w:rFonts w:hint="default" w:ascii="Times New Roman" w:hAnsi="Times New Roman" w:eastAsia="方正仿宋_GBK" w:cs="Times New Roman"/>
          <w:b/>
          <w:bCs/>
          <w:caps w:val="0"/>
          <w:color w:val="auto"/>
          <w:sz w:val="28"/>
          <w:szCs w:val="28"/>
          <w:highlight w:val="none"/>
        </w:rPr>
      </w:pPr>
      <w:r>
        <w:rPr>
          <w:rFonts w:hint="default" w:ascii="Times New Roman" w:hAnsi="Times New Roman" w:eastAsia="方正仿宋_GBK" w:cs="Times New Roman"/>
          <w:b/>
          <w:bCs/>
          <w:caps w:val="0"/>
          <w:color w:val="auto"/>
          <w:sz w:val="28"/>
          <w:szCs w:val="28"/>
          <w:highlight w:val="none"/>
        </w:rPr>
        <w:t>3</w:t>
      </w:r>
      <w:r>
        <w:rPr>
          <w:rFonts w:hint="eastAsia" w:ascii="Times New Roman" w:hAnsi="Times New Roman" w:eastAsia="方正仿宋_GBK" w:cs="Times New Roman"/>
          <w:b/>
          <w:bCs/>
          <w:caps w:val="0"/>
          <w:color w:val="auto"/>
          <w:sz w:val="28"/>
          <w:szCs w:val="28"/>
          <w:highlight w:val="none"/>
          <w:lang w:val="en-US" w:eastAsia="zh-CN"/>
        </w:rPr>
        <w:t>.</w:t>
      </w:r>
      <w:r>
        <w:rPr>
          <w:rFonts w:hint="default" w:ascii="Times New Roman" w:hAnsi="Times New Roman" w:eastAsia="方正仿宋_GBK" w:cs="Times New Roman"/>
          <w:b/>
          <w:bCs/>
          <w:caps w:val="0"/>
          <w:color w:val="auto"/>
          <w:sz w:val="28"/>
          <w:szCs w:val="28"/>
          <w:highlight w:val="none"/>
        </w:rPr>
        <w:t>损失恢复和人员救治</w:t>
      </w:r>
    </w:p>
    <w:p w14:paraId="551E4C8C">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560" w:firstLineChars="200"/>
        <w:jc w:val="left"/>
        <w:textAlignment w:val="auto"/>
        <w:outlineLvl w:val="9"/>
        <w:rPr>
          <w:rFonts w:hint="default" w:ascii="Times New Roman" w:hAnsi="Times New Roman" w:eastAsia="方正仿宋_GBK" w:cs="Times New Roman"/>
          <w:caps w:val="0"/>
          <w:color w:val="auto"/>
          <w:sz w:val="28"/>
          <w:szCs w:val="28"/>
          <w:highlight w:val="none"/>
        </w:rPr>
      </w:pPr>
      <w:r>
        <w:rPr>
          <w:rFonts w:hint="eastAsia" w:eastAsia="方正仿宋_GBK" w:cs="Times New Roman"/>
          <w:caps w:val="0"/>
          <w:color w:val="auto"/>
          <w:sz w:val="28"/>
          <w:szCs w:val="28"/>
          <w:highlight w:val="none"/>
          <w:lang w:eastAsia="zh-CN"/>
        </w:rPr>
        <w:t>保险人</w:t>
      </w:r>
      <w:r>
        <w:rPr>
          <w:rFonts w:hint="default" w:ascii="Times New Roman" w:hAnsi="Times New Roman" w:eastAsia="方正仿宋_GBK" w:cs="Times New Roman"/>
          <w:caps w:val="0"/>
          <w:color w:val="auto"/>
          <w:sz w:val="28"/>
          <w:szCs w:val="28"/>
          <w:highlight w:val="none"/>
        </w:rPr>
        <w:t>查勘现场后或未到现场但以任何方式同意的，</w:t>
      </w:r>
      <w:r>
        <w:rPr>
          <w:rFonts w:hint="eastAsia" w:eastAsia="方正仿宋_GBK" w:cs="Times New Roman"/>
          <w:caps w:val="0"/>
          <w:color w:val="auto"/>
          <w:sz w:val="28"/>
          <w:szCs w:val="28"/>
          <w:highlight w:val="none"/>
          <w:lang w:eastAsia="zh-CN"/>
        </w:rPr>
        <w:t>被保险人</w:t>
      </w:r>
      <w:r>
        <w:rPr>
          <w:rFonts w:hint="default" w:ascii="Times New Roman" w:hAnsi="Times New Roman" w:eastAsia="方正仿宋_GBK" w:cs="Times New Roman"/>
          <w:caps w:val="0"/>
          <w:color w:val="auto"/>
          <w:sz w:val="28"/>
          <w:szCs w:val="28"/>
          <w:highlight w:val="none"/>
        </w:rPr>
        <w:t>即可着手进行损失恢复。若发生人伤事故，</w:t>
      </w:r>
      <w:r>
        <w:rPr>
          <w:rFonts w:hint="eastAsia" w:eastAsia="方正仿宋_GBK" w:cs="Times New Roman"/>
          <w:caps w:val="0"/>
          <w:color w:val="auto"/>
          <w:sz w:val="28"/>
          <w:szCs w:val="28"/>
          <w:highlight w:val="none"/>
          <w:lang w:eastAsia="zh-CN"/>
        </w:rPr>
        <w:t>保险人</w:t>
      </w:r>
      <w:r>
        <w:rPr>
          <w:rFonts w:hint="default" w:ascii="Times New Roman" w:hAnsi="Times New Roman" w:eastAsia="方正仿宋_GBK" w:cs="Times New Roman"/>
          <w:caps w:val="0"/>
          <w:color w:val="auto"/>
          <w:sz w:val="28"/>
          <w:szCs w:val="28"/>
          <w:highlight w:val="none"/>
        </w:rPr>
        <w:t>同意</w:t>
      </w:r>
      <w:r>
        <w:rPr>
          <w:rFonts w:hint="eastAsia" w:eastAsia="方正仿宋_GBK" w:cs="Times New Roman"/>
          <w:caps w:val="0"/>
          <w:color w:val="auto"/>
          <w:sz w:val="28"/>
          <w:szCs w:val="28"/>
          <w:highlight w:val="none"/>
          <w:lang w:eastAsia="zh-CN"/>
        </w:rPr>
        <w:t>被保险人</w:t>
      </w:r>
      <w:r>
        <w:rPr>
          <w:rFonts w:hint="default" w:ascii="Times New Roman" w:hAnsi="Times New Roman" w:eastAsia="方正仿宋_GBK" w:cs="Times New Roman"/>
          <w:caps w:val="0"/>
          <w:color w:val="auto"/>
          <w:sz w:val="28"/>
          <w:szCs w:val="28"/>
          <w:highlight w:val="none"/>
        </w:rPr>
        <w:t>即刻采取任何合理的方式进行人员救治，</w:t>
      </w:r>
      <w:r>
        <w:rPr>
          <w:rFonts w:hint="eastAsia" w:eastAsia="方正仿宋_GBK" w:cs="Times New Roman"/>
          <w:caps w:val="0"/>
          <w:color w:val="auto"/>
          <w:sz w:val="28"/>
          <w:szCs w:val="28"/>
          <w:highlight w:val="none"/>
          <w:lang w:eastAsia="zh-CN"/>
        </w:rPr>
        <w:t>保险人</w:t>
      </w:r>
      <w:r>
        <w:rPr>
          <w:rFonts w:hint="default" w:ascii="Times New Roman" w:hAnsi="Times New Roman" w:eastAsia="方正仿宋_GBK" w:cs="Times New Roman"/>
          <w:caps w:val="0"/>
          <w:color w:val="auto"/>
          <w:sz w:val="28"/>
          <w:szCs w:val="28"/>
          <w:highlight w:val="none"/>
        </w:rPr>
        <w:t>认可救援机构在救援过程中对受伤人员采取的紧急救治措施，以及在急救或对伤者进行紧急处理过程中，就近选择的医疗机构。</w:t>
      </w:r>
    </w:p>
    <w:p w14:paraId="59AF882A">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560" w:firstLineChars="200"/>
        <w:jc w:val="left"/>
        <w:textAlignment w:val="auto"/>
        <w:outlineLvl w:val="9"/>
        <w:rPr>
          <w:rFonts w:hint="default" w:ascii="Times New Roman" w:hAnsi="Times New Roman" w:eastAsia="方正仿宋_GBK" w:cs="Times New Roman"/>
          <w:caps w:val="0"/>
          <w:color w:val="auto"/>
          <w:sz w:val="28"/>
          <w:szCs w:val="28"/>
          <w:highlight w:val="none"/>
        </w:rPr>
      </w:pPr>
      <w:r>
        <w:rPr>
          <w:rFonts w:hint="default" w:ascii="Times New Roman" w:hAnsi="Times New Roman" w:eastAsia="方正仿宋_GBK" w:cs="Times New Roman"/>
          <w:caps w:val="0"/>
          <w:color w:val="auto"/>
          <w:sz w:val="28"/>
          <w:szCs w:val="28"/>
          <w:highlight w:val="none"/>
        </w:rPr>
        <w:t>对于第三者责任案件，</w:t>
      </w:r>
      <w:r>
        <w:rPr>
          <w:rFonts w:hint="eastAsia" w:eastAsia="方正仿宋_GBK" w:cs="Times New Roman"/>
          <w:caps w:val="0"/>
          <w:color w:val="auto"/>
          <w:sz w:val="28"/>
          <w:szCs w:val="28"/>
          <w:highlight w:val="none"/>
          <w:lang w:eastAsia="zh-CN"/>
        </w:rPr>
        <w:t>保险人</w:t>
      </w:r>
      <w:r>
        <w:rPr>
          <w:rFonts w:hint="default" w:ascii="Times New Roman" w:hAnsi="Times New Roman" w:eastAsia="方正仿宋_GBK" w:cs="Times New Roman"/>
          <w:caps w:val="0"/>
          <w:color w:val="auto"/>
          <w:sz w:val="28"/>
          <w:szCs w:val="28"/>
          <w:highlight w:val="none"/>
        </w:rPr>
        <w:t>应积极参与与第三方的事故调解及处理。应</w:t>
      </w:r>
      <w:r>
        <w:rPr>
          <w:rFonts w:hint="eastAsia" w:eastAsia="方正仿宋_GBK" w:cs="Times New Roman"/>
          <w:caps w:val="0"/>
          <w:color w:val="auto"/>
          <w:sz w:val="28"/>
          <w:szCs w:val="28"/>
          <w:highlight w:val="none"/>
          <w:lang w:eastAsia="zh-CN"/>
        </w:rPr>
        <w:t>被保险人</w:t>
      </w:r>
      <w:r>
        <w:rPr>
          <w:rFonts w:hint="default" w:ascii="Times New Roman" w:hAnsi="Times New Roman" w:eastAsia="方正仿宋_GBK" w:cs="Times New Roman"/>
          <w:caps w:val="0"/>
          <w:color w:val="auto"/>
          <w:sz w:val="28"/>
          <w:szCs w:val="28"/>
          <w:highlight w:val="none"/>
        </w:rPr>
        <w:t>要求，</w:t>
      </w:r>
      <w:r>
        <w:rPr>
          <w:rFonts w:hint="eastAsia" w:eastAsia="方正仿宋_GBK" w:cs="Times New Roman"/>
          <w:caps w:val="0"/>
          <w:color w:val="auto"/>
          <w:sz w:val="28"/>
          <w:szCs w:val="28"/>
          <w:highlight w:val="none"/>
          <w:lang w:eastAsia="zh-CN"/>
        </w:rPr>
        <w:t>保险人</w:t>
      </w:r>
      <w:r>
        <w:rPr>
          <w:rFonts w:hint="default" w:ascii="Times New Roman" w:hAnsi="Times New Roman" w:eastAsia="方正仿宋_GBK" w:cs="Times New Roman"/>
          <w:caps w:val="0"/>
          <w:color w:val="auto"/>
          <w:sz w:val="28"/>
          <w:szCs w:val="28"/>
          <w:highlight w:val="none"/>
        </w:rPr>
        <w:t>须派员参与事故调解及处理。</w:t>
      </w:r>
    </w:p>
    <w:p w14:paraId="0D5A3375">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560" w:firstLineChars="200"/>
        <w:jc w:val="left"/>
        <w:textAlignment w:val="auto"/>
        <w:outlineLvl w:val="9"/>
        <w:rPr>
          <w:rFonts w:hint="default" w:ascii="Times New Roman" w:hAnsi="Times New Roman" w:eastAsia="方正仿宋_GBK" w:cs="Times New Roman"/>
          <w:b/>
          <w:bCs/>
          <w:caps w:val="0"/>
          <w:color w:val="auto"/>
          <w:sz w:val="28"/>
          <w:szCs w:val="28"/>
          <w:highlight w:val="none"/>
        </w:rPr>
      </w:pPr>
      <w:r>
        <w:rPr>
          <w:rFonts w:hint="default" w:ascii="Times New Roman" w:hAnsi="Times New Roman" w:eastAsia="方正仿宋_GBK" w:cs="Times New Roman"/>
          <w:b/>
          <w:bCs/>
          <w:caps w:val="0"/>
          <w:color w:val="auto"/>
          <w:sz w:val="28"/>
          <w:szCs w:val="28"/>
          <w:highlight w:val="none"/>
        </w:rPr>
        <w:t>4</w:t>
      </w:r>
      <w:r>
        <w:rPr>
          <w:rFonts w:hint="eastAsia" w:ascii="Times New Roman" w:hAnsi="Times New Roman" w:eastAsia="方正仿宋_GBK" w:cs="Times New Roman"/>
          <w:b/>
          <w:bCs/>
          <w:caps w:val="0"/>
          <w:color w:val="auto"/>
          <w:sz w:val="28"/>
          <w:szCs w:val="28"/>
          <w:highlight w:val="none"/>
          <w:lang w:eastAsia="zh-CN"/>
        </w:rPr>
        <w:t>.</w:t>
      </w:r>
      <w:r>
        <w:rPr>
          <w:rFonts w:hint="default" w:ascii="Times New Roman" w:hAnsi="Times New Roman" w:eastAsia="方正仿宋_GBK" w:cs="Times New Roman"/>
          <w:b/>
          <w:bCs/>
          <w:caps w:val="0"/>
          <w:color w:val="auto"/>
          <w:sz w:val="28"/>
          <w:szCs w:val="28"/>
          <w:highlight w:val="none"/>
        </w:rPr>
        <w:t>核定损失和赔偿金额</w:t>
      </w:r>
    </w:p>
    <w:p w14:paraId="141BA3D4">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560" w:firstLineChars="200"/>
        <w:jc w:val="left"/>
        <w:textAlignment w:val="auto"/>
        <w:outlineLvl w:val="9"/>
        <w:rPr>
          <w:rFonts w:hint="default" w:ascii="Times New Roman" w:hAnsi="Times New Roman" w:eastAsia="方正仿宋_GBK" w:cs="Times New Roman"/>
          <w:caps w:val="0"/>
          <w:color w:val="auto"/>
          <w:sz w:val="28"/>
          <w:szCs w:val="28"/>
          <w:highlight w:val="none"/>
        </w:rPr>
      </w:pPr>
      <w:r>
        <w:rPr>
          <w:rFonts w:hint="default" w:ascii="Times New Roman" w:hAnsi="Times New Roman" w:eastAsia="方正仿宋_GBK" w:cs="Times New Roman"/>
          <w:caps w:val="0"/>
          <w:color w:val="auto"/>
          <w:sz w:val="28"/>
          <w:szCs w:val="28"/>
          <w:highlight w:val="none"/>
        </w:rPr>
        <w:t>（1）</w:t>
      </w:r>
      <w:r>
        <w:rPr>
          <w:rFonts w:hint="eastAsia" w:eastAsia="方正仿宋_GBK" w:cs="Times New Roman"/>
          <w:caps w:val="0"/>
          <w:color w:val="auto"/>
          <w:sz w:val="28"/>
          <w:szCs w:val="28"/>
          <w:highlight w:val="none"/>
          <w:lang w:eastAsia="zh-CN"/>
        </w:rPr>
        <w:t>被保险人</w:t>
      </w:r>
      <w:r>
        <w:rPr>
          <w:rFonts w:hint="default" w:ascii="Times New Roman" w:hAnsi="Times New Roman" w:eastAsia="方正仿宋_GBK" w:cs="Times New Roman"/>
          <w:caps w:val="0"/>
          <w:color w:val="auto"/>
          <w:sz w:val="28"/>
          <w:szCs w:val="28"/>
          <w:highlight w:val="none"/>
        </w:rPr>
        <w:t>按照协议有关规定准备索赔资料，由通过递送、邮寄、</w:t>
      </w:r>
      <w:r>
        <w:rPr>
          <w:rFonts w:hint="eastAsia" w:ascii="Times New Roman" w:hAnsi="Times New Roman" w:eastAsia="方正仿宋_GBK" w:cs="Times New Roman"/>
          <w:caps w:val="0"/>
          <w:color w:val="auto"/>
          <w:sz w:val="28"/>
          <w:szCs w:val="28"/>
          <w:highlight w:val="none"/>
          <w:lang w:val="en-US" w:eastAsia="zh-CN"/>
        </w:rPr>
        <w:t>邮件或其他</w:t>
      </w:r>
      <w:r>
        <w:rPr>
          <w:rFonts w:hint="default" w:ascii="Times New Roman" w:hAnsi="Times New Roman" w:eastAsia="方正仿宋_GBK" w:cs="Times New Roman"/>
          <w:caps w:val="0"/>
          <w:color w:val="auto"/>
          <w:sz w:val="28"/>
          <w:szCs w:val="28"/>
          <w:highlight w:val="none"/>
        </w:rPr>
        <w:t>其他双方认可的方式提交</w:t>
      </w:r>
      <w:r>
        <w:rPr>
          <w:rFonts w:hint="eastAsia" w:ascii="Times New Roman" w:hAnsi="Times New Roman" w:eastAsia="方正仿宋_GBK" w:cs="Times New Roman"/>
          <w:caps w:val="0"/>
          <w:color w:val="auto"/>
          <w:sz w:val="28"/>
          <w:szCs w:val="28"/>
          <w:highlight w:val="none"/>
          <w:lang w:eastAsia="zh-CN"/>
        </w:rPr>
        <w:t>，</w:t>
      </w:r>
      <w:r>
        <w:rPr>
          <w:rFonts w:hint="eastAsia" w:eastAsia="方正仿宋_GBK" w:cs="Times New Roman"/>
          <w:caps w:val="0"/>
          <w:color w:val="auto"/>
          <w:sz w:val="28"/>
          <w:szCs w:val="28"/>
          <w:highlight w:val="none"/>
          <w:lang w:eastAsia="zh-CN"/>
        </w:rPr>
        <w:t>保险人</w:t>
      </w:r>
      <w:r>
        <w:rPr>
          <w:rFonts w:hint="default" w:ascii="Times New Roman" w:hAnsi="Times New Roman" w:eastAsia="方正仿宋_GBK" w:cs="Times New Roman"/>
          <w:caps w:val="0"/>
          <w:color w:val="auto"/>
          <w:sz w:val="28"/>
          <w:szCs w:val="28"/>
          <w:highlight w:val="none"/>
        </w:rPr>
        <w:t>接到后应以递送、邮寄、</w:t>
      </w:r>
      <w:r>
        <w:rPr>
          <w:rFonts w:hint="eastAsia" w:ascii="Times New Roman" w:hAnsi="Times New Roman" w:eastAsia="方正仿宋_GBK" w:cs="Times New Roman"/>
          <w:caps w:val="0"/>
          <w:color w:val="auto"/>
          <w:sz w:val="28"/>
          <w:szCs w:val="28"/>
          <w:highlight w:val="none"/>
          <w:lang w:val="en-US" w:eastAsia="zh-CN"/>
        </w:rPr>
        <w:t>邮件或其他</w:t>
      </w:r>
      <w:r>
        <w:rPr>
          <w:rFonts w:hint="default" w:ascii="Times New Roman" w:hAnsi="Times New Roman" w:eastAsia="方正仿宋_GBK" w:cs="Times New Roman"/>
          <w:caps w:val="0"/>
          <w:color w:val="auto"/>
          <w:sz w:val="28"/>
          <w:szCs w:val="28"/>
          <w:highlight w:val="none"/>
        </w:rPr>
        <w:t>其他双方认可的方式给予确认。</w:t>
      </w:r>
      <w:r>
        <w:rPr>
          <w:rFonts w:hint="eastAsia" w:eastAsia="方正仿宋_GBK" w:cs="Times New Roman"/>
          <w:caps w:val="0"/>
          <w:color w:val="auto"/>
          <w:sz w:val="28"/>
          <w:szCs w:val="28"/>
          <w:highlight w:val="none"/>
          <w:lang w:eastAsia="zh-CN"/>
        </w:rPr>
        <w:t>保险人</w:t>
      </w:r>
      <w:r>
        <w:rPr>
          <w:rFonts w:hint="default" w:ascii="Times New Roman" w:hAnsi="Times New Roman" w:eastAsia="方正仿宋_GBK" w:cs="Times New Roman"/>
          <w:caps w:val="0"/>
          <w:color w:val="auto"/>
          <w:sz w:val="28"/>
          <w:szCs w:val="28"/>
          <w:highlight w:val="none"/>
        </w:rPr>
        <w:t>接到索赔材料后，应立即审核，若认为有关证明或资料不完整的，应一次性告知</w:t>
      </w:r>
      <w:r>
        <w:rPr>
          <w:rFonts w:hint="eastAsia" w:eastAsia="方正仿宋_GBK" w:cs="Times New Roman"/>
          <w:caps w:val="0"/>
          <w:color w:val="auto"/>
          <w:sz w:val="28"/>
          <w:szCs w:val="28"/>
          <w:highlight w:val="none"/>
          <w:lang w:eastAsia="zh-CN"/>
        </w:rPr>
        <w:t>被保险人</w:t>
      </w:r>
      <w:r>
        <w:rPr>
          <w:rFonts w:hint="default" w:ascii="Times New Roman" w:hAnsi="Times New Roman" w:eastAsia="方正仿宋_GBK" w:cs="Times New Roman"/>
          <w:caps w:val="0"/>
          <w:color w:val="auto"/>
          <w:sz w:val="28"/>
          <w:szCs w:val="28"/>
          <w:highlight w:val="none"/>
        </w:rPr>
        <w:t>需补充提供的有关证明或资料。在</w:t>
      </w:r>
      <w:r>
        <w:rPr>
          <w:rFonts w:hint="eastAsia" w:eastAsia="方正仿宋_GBK" w:cs="Times New Roman"/>
          <w:caps w:val="0"/>
          <w:color w:val="auto"/>
          <w:sz w:val="28"/>
          <w:szCs w:val="28"/>
          <w:highlight w:val="none"/>
          <w:lang w:eastAsia="zh-CN"/>
        </w:rPr>
        <w:t>保险人</w:t>
      </w:r>
      <w:r>
        <w:rPr>
          <w:rFonts w:hint="default" w:ascii="Times New Roman" w:hAnsi="Times New Roman" w:eastAsia="方正仿宋_GBK" w:cs="Times New Roman"/>
          <w:caps w:val="0"/>
          <w:color w:val="auto"/>
          <w:sz w:val="28"/>
          <w:szCs w:val="28"/>
          <w:highlight w:val="none"/>
        </w:rPr>
        <w:t>工作人员确认接到索赔资料5个工作日内未提出有关审核意见的，则视为</w:t>
      </w:r>
      <w:r>
        <w:rPr>
          <w:rFonts w:hint="eastAsia" w:eastAsia="方正仿宋_GBK" w:cs="Times New Roman"/>
          <w:caps w:val="0"/>
          <w:color w:val="auto"/>
          <w:sz w:val="28"/>
          <w:szCs w:val="28"/>
          <w:highlight w:val="none"/>
          <w:lang w:eastAsia="zh-CN"/>
        </w:rPr>
        <w:t>保险人</w:t>
      </w:r>
      <w:r>
        <w:rPr>
          <w:rFonts w:hint="default" w:ascii="Times New Roman" w:hAnsi="Times New Roman" w:eastAsia="方正仿宋_GBK" w:cs="Times New Roman"/>
          <w:caps w:val="0"/>
          <w:color w:val="auto"/>
          <w:sz w:val="28"/>
          <w:szCs w:val="28"/>
          <w:highlight w:val="none"/>
        </w:rPr>
        <w:t>认可索赔资料完整。</w:t>
      </w:r>
    </w:p>
    <w:p w14:paraId="34EF519E">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560" w:firstLineChars="200"/>
        <w:jc w:val="left"/>
        <w:textAlignment w:val="auto"/>
        <w:outlineLvl w:val="9"/>
        <w:rPr>
          <w:rFonts w:hint="default" w:ascii="Times New Roman" w:hAnsi="Times New Roman" w:eastAsia="方正仿宋_GBK" w:cs="Times New Roman"/>
          <w:caps w:val="0"/>
          <w:color w:val="auto"/>
          <w:sz w:val="28"/>
          <w:szCs w:val="28"/>
          <w:highlight w:val="none"/>
        </w:rPr>
      </w:pPr>
      <w:r>
        <w:rPr>
          <w:rFonts w:hint="default" w:ascii="Times New Roman" w:hAnsi="Times New Roman" w:eastAsia="方正仿宋_GBK" w:cs="Times New Roman"/>
          <w:caps w:val="0"/>
          <w:color w:val="auto"/>
          <w:sz w:val="28"/>
          <w:szCs w:val="28"/>
          <w:highlight w:val="none"/>
        </w:rPr>
        <w:t>（2）</w:t>
      </w:r>
      <w:r>
        <w:rPr>
          <w:rFonts w:hint="eastAsia" w:eastAsia="方正仿宋_GBK" w:cs="Times New Roman"/>
          <w:caps w:val="0"/>
          <w:color w:val="auto"/>
          <w:sz w:val="28"/>
          <w:szCs w:val="28"/>
          <w:highlight w:val="none"/>
          <w:lang w:eastAsia="zh-CN"/>
        </w:rPr>
        <w:t>保险人</w:t>
      </w:r>
      <w:r>
        <w:rPr>
          <w:rFonts w:hint="default" w:ascii="Times New Roman" w:hAnsi="Times New Roman" w:eastAsia="方正仿宋_GBK" w:cs="Times New Roman"/>
          <w:caps w:val="0"/>
          <w:color w:val="auto"/>
          <w:sz w:val="28"/>
          <w:szCs w:val="28"/>
          <w:highlight w:val="none"/>
        </w:rPr>
        <w:t>自收到完整的索赔资料之日起，对于估损金额在RMB500,000.00以内（含）的保险事故，应在</w:t>
      </w:r>
      <w:r>
        <w:rPr>
          <w:rFonts w:hint="eastAsia" w:ascii="Times New Roman" w:hAnsi="Times New Roman" w:eastAsia="方正仿宋_GBK" w:cs="Times New Roman"/>
          <w:caps w:val="0"/>
          <w:color w:val="auto"/>
          <w:sz w:val="28"/>
          <w:szCs w:val="28"/>
          <w:highlight w:val="none"/>
          <w:lang w:val="en-US" w:eastAsia="zh-CN"/>
        </w:rPr>
        <w:t>5</w:t>
      </w:r>
      <w:r>
        <w:rPr>
          <w:rFonts w:hint="default" w:ascii="Times New Roman" w:hAnsi="Times New Roman" w:eastAsia="方正仿宋_GBK" w:cs="Times New Roman"/>
          <w:caps w:val="0"/>
          <w:color w:val="auto"/>
          <w:sz w:val="28"/>
          <w:szCs w:val="28"/>
          <w:highlight w:val="none"/>
        </w:rPr>
        <w:t>个工作日内完成定责定损。</w:t>
      </w:r>
      <w:r>
        <w:rPr>
          <w:rFonts w:hint="eastAsia" w:eastAsia="方正仿宋_GBK" w:cs="Times New Roman"/>
          <w:caps w:val="0"/>
          <w:color w:val="auto"/>
          <w:sz w:val="28"/>
          <w:szCs w:val="28"/>
          <w:highlight w:val="none"/>
          <w:lang w:eastAsia="zh-CN"/>
        </w:rPr>
        <w:t>保险人</w:t>
      </w:r>
      <w:r>
        <w:rPr>
          <w:rFonts w:hint="default" w:ascii="Times New Roman" w:hAnsi="Times New Roman" w:eastAsia="方正仿宋_GBK" w:cs="Times New Roman"/>
          <w:caps w:val="0"/>
          <w:color w:val="auto"/>
          <w:sz w:val="28"/>
          <w:szCs w:val="28"/>
          <w:highlight w:val="none"/>
        </w:rPr>
        <w:t>应在上述时限内以递送、邮寄、</w:t>
      </w:r>
      <w:r>
        <w:rPr>
          <w:rFonts w:hint="eastAsia" w:ascii="Times New Roman" w:hAnsi="Times New Roman" w:eastAsia="方正仿宋_GBK" w:cs="Times New Roman"/>
          <w:caps w:val="0"/>
          <w:color w:val="auto"/>
          <w:sz w:val="28"/>
          <w:szCs w:val="28"/>
          <w:highlight w:val="none"/>
          <w:lang w:val="en-US" w:eastAsia="zh-CN"/>
        </w:rPr>
        <w:t>邮件或其他</w:t>
      </w:r>
      <w:r>
        <w:rPr>
          <w:rFonts w:hint="default" w:ascii="Times New Roman" w:hAnsi="Times New Roman" w:eastAsia="方正仿宋_GBK" w:cs="Times New Roman"/>
          <w:caps w:val="0"/>
          <w:color w:val="auto"/>
          <w:sz w:val="28"/>
          <w:szCs w:val="28"/>
          <w:highlight w:val="none"/>
        </w:rPr>
        <w:t>其他双方认可的方式给予</w:t>
      </w:r>
      <w:r>
        <w:rPr>
          <w:rFonts w:hint="eastAsia" w:eastAsia="方正仿宋_GBK" w:cs="Times New Roman"/>
          <w:caps w:val="0"/>
          <w:color w:val="auto"/>
          <w:sz w:val="28"/>
          <w:szCs w:val="28"/>
          <w:highlight w:val="none"/>
          <w:lang w:eastAsia="zh-CN"/>
        </w:rPr>
        <w:t>被保险人</w:t>
      </w:r>
      <w:r>
        <w:rPr>
          <w:rFonts w:hint="default" w:ascii="Times New Roman" w:hAnsi="Times New Roman" w:eastAsia="方正仿宋_GBK" w:cs="Times New Roman"/>
          <w:caps w:val="0"/>
          <w:color w:val="auto"/>
          <w:sz w:val="28"/>
          <w:szCs w:val="28"/>
          <w:highlight w:val="none"/>
        </w:rPr>
        <w:t>定责定损意见。若在上述时间内未给予定责定损意见，即视为双方同意就</w:t>
      </w:r>
      <w:r>
        <w:rPr>
          <w:rFonts w:hint="eastAsia" w:eastAsia="方正仿宋_GBK" w:cs="Times New Roman"/>
          <w:caps w:val="0"/>
          <w:color w:val="auto"/>
          <w:sz w:val="28"/>
          <w:szCs w:val="28"/>
          <w:highlight w:val="none"/>
          <w:lang w:eastAsia="zh-CN"/>
        </w:rPr>
        <w:t>被保险人</w:t>
      </w:r>
      <w:r>
        <w:rPr>
          <w:rFonts w:hint="default" w:ascii="Times New Roman" w:hAnsi="Times New Roman" w:eastAsia="方正仿宋_GBK" w:cs="Times New Roman"/>
          <w:caps w:val="0"/>
          <w:color w:val="auto"/>
          <w:sz w:val="28"/>
          <w:szCs w:val="28"/>
          <w:highlight w:val="none"/>
        </w:rPr>
        <w:t>提供的索赔金额作为赔偿结果。</w:t>
      </w:r>
    </w:p>
    <w:p w14:paraId="25D62C23">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560" w:firstLineChars="200"/>
        <w:jc w:val="left"/>
        <w:textAlignment w:val="auto"/>
        <w:outlineLvl w:val="9"/>
        <w:rPr>
          <w:rFonts w:hint="default" w:ascii="Times New Roman" w:hAnsi="Times New Roman" w:eastAsia="方正仿宋_GBK" w:cs="Times New Roman"/>
          <w:caps w:val="0"/>
          <w:color w:val="auto"/>
          <w:sz w:val="28"/>
          <w:szCs w:val="28"/>
          <w:highlight w:val="none"/>
        </w:rPr>
      </w:pPr>
      <w:r>
        <w:rPr>
          <w:rFonts w:hint="default" w:ascii="Times New Roman" w:hAnsi="Times New Roman" w:eastAsia="方正仿宋_GBK" w:cs="Times New Roman"/>
          <w:caps w:val="0"/>
          <w:color w:val="auto"/>
          <w:sz w:val="28"/>
          <w:szCs w:val="28"/>
          <w:highlight w:val="none"/>
        </w:rPr>
        <w:t>（3）</w:t>
      </w:r>
      <w:r>
        <w:rPr>
          <w:rFonts w:hint="eastAsia" w:eastAsia="方正仿宋_GBK" w:cs="Times New Roman"/>
          <w:caps w:val="0"/>
          <w:color w:val="auto"/>
          <w:sz w:val="28"/>
          <w:szCs w:val="28"/>
          <w:highlight w:val="none"/>
          <w:lang w:eastAsia="zh-CN"/>
        </w:rPr>
        <w:t>保险人</w:t>
      </w:r>
      <w:r>
        <w:rPr>
          <w:rFonts w:hint="default" w:ascii="Times New Roman" w:hAnsi="Times New Roman" w:eastAsia="方正仿宋_GBK" w:cs="Times New Roman"/>
          <w:caps w:val="0"/>
          <w:color w:val="auto"/>
          <w:sz w:val="28"/>
          <w:szCs w:val="28"/>
          <w:highlight w:val="none"/>
        </w:rPr>
        <w:t>在收到被</w:t>
      </w:r>
      <w:r>
        <w:rPr>
          <w:rFonts w:hint="eastAsia" w:eastAsia="方正仿宋_GBK" w:cs="Times New Roman"/>
          <w:caps w:val="0"/>
          <w:color w:val="auto"/>
          <w:sz w:val="28"/>
          <w:szCs w:val="28"/>
          <w:highlight w:val="none"/>
          <w:lang w:eastAsia="zh-CN"/>
        </w:rPr>
        <w:t>保险人</w:t>
      </w:r>
      <w:r>
        <w:rPr>
          <w:rFonts w:hint="default" w:ascii="Times New Roman" w:hAnsi="Times New Roman" w:eastAsia="方正仿宋_GBK" w:cs="Times New Roman"/>
          <w:caps w:val="0"/>
          <w:color w:val="auto"/>
          <w:sz w:val="28"/>
          <w:szCs w:val="28"/>
          <w:highlight w:val="none"/>
        </w:rPr>
        <w:t>的书面索赔单证后，应尽快核定损失项目和金额，</w:t>
      </w:r>
      <w:r>
        <w:rPr>
          <w:rFonts w:hint="eastAsia" w:ascii="Times New Roman" w:hAnsi="Times New Roman" w:eastAsia="方正仿宋_GBK" w:cs="Times New Roman"/>
          <w:caps w:val="0"/>
          <w:color w:val="auto"/>
          <w:sz w:val="28"/>
          <w:szCs w:val="28"/>
          <w:highlight w:val="none"/>
          <w:lang w:val="en-US" w:eastAsia="zh-CN"/>
        </w:rPr>
        <w:t>在10日工作日内</w:t>
      </w:r>
      <w:r>
        <w:rPr>
          <w:rFonts w:hint="eastAsia" w:eastAsia="方正仿宋_GBK" w:cs="Times New Roman"/>
          <w:caps w:val="0"/>
          <w:color w:val="auto"/>
          <w:sz w:val="28"/>
          <w:szCs w:val="28"/>
          <w:highlight w:val="none"/>
          <w:lang w:val="en-US" w:eastAsia="zh-CN"/>
        </w:rPr>
        <w:t>被保险人</w:t>
      </w:r>
      <w:r>
        <w:rPr>
          <w:rFonts w:hint="default" w:ascii="Times New Roman" w:hAnsi="Times New Roman" w:eastAsia="方正仿宋_GBK" w:cs="Times New Roman"/>
          <w:caps w:val="0"/>
          <w:color w:val="auto"/>
          <w:sz w:val="28"/>
          <w:szCs w:val="28"/>
          <w:highlight w:val="none"/>
        </w:rPr>
        <w:t>反馈</w:t>
      </w:r>
      <w:r>
        <w:rPr>
          <w:rFonts w:hint="eastAsia" w:ascii="Times New Roman" w:hAnsi="Times New Roman" w:eastAsia="方正仿宋_GBK" w:cs="Times New Roman"/>
          <w:caps w:val="0"/>
          <w:color w:val="auto"/>
          <w:sz w:val="28"/>
          <w:szCs w:val="28"/>
          <w:highlight w:val="none"/>
          <w:lang w:eastAsia="zh-CN"/>
        </w:rPr>
        <w:t>。</w:t>
      </w:r>
      <w:r>
        <w:rPr>
          <w:rFonts w:hint="default" w:ascii="Times New Roman" w:hAnsi="Times New Roman" w:eastAsia="方正仿宋_GBK" w:cs="Times New Roman"/>
          <w:caps w:val="0"/>
          <w:color w:val="auto"/>
          <w:sz w:val="28"/>
          <w:szCs w:val="28"/>
          <w:highlight w:val="none"/>
        </w:rPr>
        <w:t>情形复杂的，应当在30日内做出核定，并将核定结果书面通知</w:t>
      </w:r>
      <w:r>
        <w:rPr>
          <w:rFonts w:hint="eastAsia" w:eastAsia="方正仿宋_GBK" w:cs="Times New Roman"/>
          <w:caps w:val="0"/>
          <w:color w:val="auto"/>
          <w:sz w:val="28"/>
          <w:szCs w:val="28"/>
          <w:highlight w:val="none"/>
          <w:lang w:val="en-US" w:eastAsia="zh-CN"/>
        </w:rPr>
        <w:t>被保险人</w:t>
      </w:r>
      <w:r>
        <w:rPr>
          <w:rFonts w:hint="default" w:ascii="Times New Roman" w:hAnsi="Times New Roman" w:eastAsia="方正仿宋_GBK" w:cs="Times New Roman"/>
          <w:caps w:val="0"/>
          <w:color w:val="auto"/>
          <w:sz w:val="28"/>
          <w:szCs w:val="28"/>
          <w:highlight w:val="none"/>
        </w:rPr>
        <w:t>；若</w:t>
      </w:r>
      <w:r>
        <w:rPr>
          <w:rFonts w:hint="eastAsia" w:eastAsia="方正仿宋_GBK" w:cs="Times New Roman"/>
          <w:caps w:val="0"/>
          <w:color w:val="auto"/>
          <w:sz w:val="28"/>
          <w:szCs w:val="28"/>
          <w:highlight w:val="none"/>
          <w:lang w:eastAsia="zh-CN"/>
        </w:rPr>
        <w:t>保险人</w:t>
      </w:r>
      <w:r>
        <w:rPr>
          <w:rFonts w:hint="default" w:ascii="Times New Roman" w:hAnsi="Times New Roman" w:eastAsia="方正仿宋_GBK" w:cs="Times New Roman"/>
          <w:caps w:val="0"/>
          <w:color w:val="auto"/>
          <w:sz w:val="28"/>
          <w:szCs w:val="28"/>
          <w:highlight w:val="none"/>
        </w:rPr>
        <w:t>认定不属于保险责任的，应当自做出核定之日起3</w:t>
      </w:r>
      <w:r>
        <w:rPr>
          <w:rFonts w:hint="default" w:ascii="Times New Roman" w:hAnsi="Times New Roman" w:eastAsia="方正仿宋_GBK" w:cs="Times New Roman"/>
          <w:caps w:val="0"/>
          <w:color w:val="auto"/>
          <w:sz w:val="28"/>
          <w:szCs w:val="28"/>
          <w:highlight w:val="none"/>
          <w:lang w:eastAsia="zh-CN"/>
        </w:rPr>
        <w:t>个工作</w:t>
      </w:r>
      <w:r>
        <w:rPr>
          <w:rFonts w:hint="default" w:ascii="Times New Roman" w:hAnsi="Times New Roman" w:eastAsia="方正仿宋_GBK" w:cs="Times New Roman"/>
          <w:caps w:val="0"/>
          <w:color w:val="auto"/>
          <w:sz w:val="28"/>
          <w:szCs w:val="28"/>
          <w:highlight w:val="none"/>
        </w:rPr>
        <w:t>日内提交相关说明，否则视同属于保险责任。</w:t>
      </w:r>
    </w:p>
    <w:p w14:paraId="7070C9F3">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560" w:firstLineChars="200"/>
        <w:jc w:val="left"/>
        <w:textAlignment w:val="auto"/>
        <w:outlineLvl w:val="9"/>
        <w:rPr>
          <w:rFonts w:hint="eastAsia" w:ascii="Times New Roman" w:hAnsi="Times New Roman" w:eastAsia="方正仿宋_GBK" w:cs="Times New Roman"/>
          <w:b/>
          <w:bCs/>
          <w:caps w:val="0"/>
          <w:color w:val="auto"/>
          <w:sz w:val="28"/>
          <w:szCs w:val="28"/>
          <w:highlight w:val="none"/>
          <w:lang w:eastAsia="zh-CN"/>
        </w:rPr>
      </w:pPr>
      <w:r>
        <w:rPr>
          <w:rFonts w:hint="default" w:ascii="Times New Roman" w:hAnsi="Times New Roman" w:eastAsia="方正仿宋_GBK" w:cs="Times New Roman"/>
          <w:b/>
          <w:bCs/>
          <w:caps w:val="0"/>
          <w:color w:val="auto"/>
          <w:sz w:val="28"/>
          <w:szCs w:val="28"/>
          <w:highlight w:val="none"/>
        </w:rPr>
        <w:t>5</w:t>
      </w:r>
      <w:r>
        <w:rPr>
          <w:rFonts w:hint="eastAsia" w:ascii="Times New Roman" w:hAnsi="Times New Roman" w:eastAsia="方正仿宋_GBK" w:cs="Times New Roman"/>
          <w:b/>
          <w:bCs/>
          <w:caps w:val="0"/>
          <w:color w:val="auto"/>
          <w:sz w:val="28"/>
          <w:szCs w:val="28"/>
          <w:highlight w:val="none"/>
          <w:lang w:eastAsia="zh-CN"/>
        </w:rPr>
        <w:t>.</w:t>
      </w:r>
      <w:r>
        <w:rPr>
          <w:rFonts w:hint="eastAsia" w:eastAsia="方正仿宋_GBK" w:cs="Times New Roman"/>
          <w:b/>
          <w:bCs/>
          <w:caps w:val="0"/>
          <w:color w:val="auto"/>
          <w:sz w:val="28"/>
          <w:szCs w:val="28"/>
          <w:highlight w:val="none"/>
          <w:lang w:val="en-US" w:eastAsia="zh-CN"/>
        </w:rPr>
        <w:t>赔付时限</w:t>
      </w:r>
    </w:p>
    <w:p w14:paraId="178229C0">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560" w:firstLineChars="200"/>
        <w:jc w:val="left"/>
        <w:textAlignment w:val="auto"/>
        <w:outlineLvl w:val="9"/>
        <w:rPr>
          <w:rFonts w:hint="default" w:ascii="Times New Roman" w:hAnsi="Times New Roman" w:eastAsia="方正仿宋_GBK" w:cs="Times New Roman"/>
          <w:caps w:val="0"/>
          <w:color w:val="auto"/>
          <w:sz w:val="28"/>
          <w:szCs w:val="28"/>
          <w:highlight w:val="none"/>
        </w:rPr>
      </w:pPr>
      <w:r>
        <w:rPr>
          <w:rFonts w:hint="eastAsia" w:eastAsia="方正仿宋_GBK" w:cs="Times New Roman"/>
          <w:caps w:val="0"/>
          <w:color w:val="auto"/>
          <w:sz w:val="28"/>
          <w:szCs w:val="28"/>
          <w:highlight w:val="none"/>
          <w:lang w:eastAsia="zh-CN"/>
        </w:rPr>
        <w:t>保险人</w:t>
      </w:r>
      <w:r>
        <w:rPr>
          <w:rFonts w:hint="default" w:ascii="Times New Roman" w:hAnsi="Times New Roman" w:eastAsia="方正仿宋_GBK" w:cs="Times New Roman"/>
          <w:caps w:val="0"/>
          <w:color w:val="auto"/>
          <w:sz w:val="28"/>
          <w:szCs w:val="28"/>
          <w:highlight w:val="none"/>
        </w:rPr>
        <w:t>同意按照以下时限要求支付赔款：</w:t>
      </w:r>
    </w:p>
    <w:tbl>
      <w:tblPr>
        <w:tblStyle w:val="49"/>
        <w:tblW w:w="8522" w:type="dxa"/>
        <w:jc w:val="center"/>
        <w:tblLayout w:type="fixed"/>
        <w:tblCellMar>
          <w:top w:w="0" w:type="dxa"/>
          <w:left w:w="108" w:type="dxa"/>
          <w:bottom w:w="0" w:type="dxa"/>
          <w:right w:w="108" w:type="dxa"/>
        </w:tblCellMar>
      </w:tblPr>
      <w:tblGrid>
        <w:gridCol w:w="4261"/>
        <w:gridCol w:w="4261"/>
      </w:tblGrid>
      <w:tr w14:paraId="1C136A37">
        <w:tblPrEx>
          <w:tblCellMar>
            <w:top w:w="0" w:type="dxa"/>
            <w:left w:w="108" w:type="dxa"/>
            <w:bottom w:w="0" w:type="dxa"/>
            <w:right w:w="108" w:type="dxa"/>
          </w:tblCellMar>
        </w:tblPrEx>
        <w:trPr>
          <w:jc w:val="center"/>
        </w:trPr>
        <w:tc>
          <w:tcPr>
            <w:tcW w:w="4261" w:type="dxa"/>
            <w:tcBorders>
              <w:top w:val="single" w:color="000000" w:sz="4" w:space="0"/>
              <w:left w:val="single" w:color="000000" w:sz="4" w:space="0"/>
              <w:bottom w:val="single" w:color="000000" w:sz="4" w:space="0"/>
              <w:right w:val="single" w:color="000000" w:sz="4" w:space="0"/>
            </w:tcBorders>
            <w:noWrap w:val="0"/>
            <w:vAlign w:val="center"/>
          </w:tcPr>
          <w:p w14:paraId="363530CF">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560" w:firstLineChars="200"/>
              <w:jc w:val="left"/>
              <w:textAlignment w:val="auto"/>
              <w:outlineLvl w:val="9"/>
              <w:rPr>
                <w:rFonts w:hint="default" w:ascii="Times New Roman" w:hAnsi="Times New Roman" w:eastAsia="方正仿宋_GBK" w:cs="Times New Roman"/>
                <w:b w:val="0"/>
                <w:bCs w:val="0"/>
                <w:caps w:val="0"/>
                <w:color w:val="auto"/>
                <w:sz w:val="28"/>
                <w:szCs w:val="28"/>
                <w:highlight w:val="none"/>
              </w:rPr>
            </w:pPr>
            <w:r>
              <w:rPr>
                <w:rFonts w:hint="default" w:ascii="Times New Roman" w:hAnsi="Times New Roman" w:eastAsia="方正仿宋_GBK" w:cs="Times New Roman"/>
                <w:b w:val="0"/>
                <w:bCs w:val="0"/>
                <w:caps w:val="0"/>
                <w:color w:val="auto"/>
                <w:sz w:val="28"/>
                <w:szCs w:val="28"/>
                <w:highlight w:val="none"/>
              </w:rPr>
              <w:t>赔偿金额（RMB）</w:t>
            </w:r>
          </w:p>
        </w:tc>
        <w:tc>
          <w:tcPr>
            <w:tcW w:w="4261" w:type="dxa"/>
            <w:tcBorders>
              <w:top w:val="single" w:color="000000" w:sz="4" w:space="0"/>
              <w:left w:val="nil"/>
              <w:bottom w:val="single" w:color="000000" w:sz="4" w:space="0"/>
              <w:right w:val="single" w:color="000000" w:sz="4" w:space="0"/>
            </w:tcBorders>
            <w:noWrap w:val="0"/>
            <w:vAlign w:val="center"/>
          </w:tcPr>
          <w:p w14:paraId="37DD069E">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560" w:firstLineChars="200"/>
              <w:jc w:val="left"/>
              <w:textAlignment w:val="auto"/>
              <w:outlineLvl w:val="9"/>
              <w:rPr>
                <w:rFonts w:hint="default" w:ascii="Times New Roman" w:hAnsi="Times New Roman" w:eastAsia="方正仿宋_GBK" w:cs="Times New Roman"/>
                <w:b w:val="0"/>
                <w:bCs w:val="0"/>
                <w:caps w:val="0"/>
                <w:color w:val="auto"/>
                <w:sz w:val="28"/>
                <w:szCs w:val="28"/>
                <w:highlight w:val="none"/>
              </w:rPr>
            </w:pPr>
            <w:r>
              <w:rPr>
                <w:rFonts w:hint="default" w:ascii="Times New Roman" w:hAnsi="Times New Roman" w:eastAsia="方正仿宋_GBK" w:cs="Times New Roman"/>
                <w:b w:val="0"/>
                <w:bCs w:val="0"/>
                <w:caps w:val="0"/>
                <w:color w:val="auto"/>
                <w:sz w:val="28"/>
                <w:szCs w:val="28"/>
                <w:highlight w:val="none"/>
              </w:rPr>
              <w:t>结案赔付时限</w:t>
            </w:r>
          </w:p>
        </w:tc>
      </w:tr>
      <w:tr w14:paraId="2C31507A">
        <w:tblPrEx>
          <w:tblCellMar>
            <w:top w:w="0" w:type="dxa"/>
            <w:left w:w="108" w:type="dxa"/>
            <w:bottom w:w="0" w:type="dxa"/>
            <w:right w:w="108" w:type="dxa"/>
          </w:tblCellMar>
        </w:tblPrEx>
        <w:trPr>
          <w:jc w:val="center"/>
        </w:trPr>
        <w:tc>
          <w:tcPr>
            <w:tcW w:w="4261" w:type="dxa"/>
            <w:tcBorders>
              <w:top w:val="single" w:color="000000" w:sz="4" w:space="0"/>
              <w:left w:val="single" w:color="000000" w:sz="4" w:space="0"/>
              <w:bottom w:val="single" w:color="000000" w:sz="4" w:space="0"/>
              <w:right w:val="single" w:color="000000" w:sz="4" w:space="0"/>
            </w:tcBorders>
            <w:noWrap w:val="0"/>
            <w:vAlign w:val="center"/>
          </w:tcPr>
          <w:p w14:paraId="15F30F51">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560" w:firstLineChars="200"/>
              <w:jc w:val="left"/>
              <w:textAlignment w:val="auto"/>
              <w:outlineLvl w:val="9"/>
              <w:rPr>
                <w:rFonts w:hint="default" w:ascii="Times New Roman" w:hAnsi="Times New Roman" w:eastAsia="方正仿宋_GBK" w:cs="Times New Roman"/>
                <w:caps w:val="0"/>
                <w:color w:val="auto"/>
                <w:sz w:val="28"/>
                <w:szCs w:val="28"/>
                <w:highlight w:val="none"/>
              </w:rPr>
            </w:pPr>
            <w:r>
              <w:rPr>
                <w:rFonts w:hint="default" w:ascii="Times New Roman" w:hAnsi="Times New Roman" w:eastAsia="方正仿宋_GBK" w:cs="Times New Roman"/>
                <w:caps w:val="0"/>
                <w:color w:val="auto"/>
                <w:sz w:val="28"/>
                <w:szCs w:val="28"/>
                <w:highlight w:val="none"/>
              </w:rPr>
              <w:t>50万元（含）及以下</w:t>
            </w:r>
          </w:p>
        </w:tc>
        <w:tc>
          <w:tcPr>
            <w:tcW w:w="4261" w:type="dxa"/>
            <w:tcBorders>
              <w:top w:val="single" w:color="000000" w:sz="4" w:space="0"/>
              <w:left w:val="nil"/>
              <w:bottom w:val="single" w:color="000000" w:sz="4" w:space="0"/>
              <w:right w:val="single" w:color="000000" w:sz="4" w:space="0"/>
            </w:tcBorders>
            <w:noWrap w:val="0"/>
            <w:vAlign w:val="center"/>
          </w:tcPr>
          <w:p w14:paraId="276060B4">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560" w:firstLineChars="200"/>
              <w:jc w:val="left"/>
              <w:textAlignment w:val="auto"/>
              <w:outlineLvl w:val="9"/>
              <w:rPr>
                <w:rFonts w:hint="default" w:ascii="Times New Roman" w:hAnsi="Times New Roman" w:eastAsia="方正仿宋_GBK" w:cs="Times New Roman"/>
                <w:caps w:val="0"/>
                <w:color w:val="auto"/>
                <w:sz w:val="28"/>
                <w:szCs w:val="28"/>
                <w:highlight w:val="none"/>
              </w:rPr>
            </w:pPr>
            <w:r>
              <w:rPr>
                <w:rFonts w:hint="eastAsia" w:ascii="Times New Roman" w:hAnsi="Times New Roman" w:eastAsia="方正仿宋_GBK" w:cs="Times New Roman"/>
                <w:caps w:val="0"/>
                <w:color w:val="auto"/>
                <w:sz w:val="28"/>
                <w:szCs w:val="28"/>
                <w:highlight w:val="none"/>
                <w:lang w:val="en-US" w:eastAsia="zh-CN"/>
              </w:rPr>
              <w:t>15</w:t>
            </w:r>
            <w:r>
              <w:rPr>
                <w:rFonts w:hint="default" w:ascii="Times New Roman" w:hAnsi="Times New Roman" w:eastAsia="方正仿宋_GBK" w:cs="Times New Roman"/>
                <w:caps w:val="0"/>
                <w:color w:val="auto"/>
                <w:sz w:val="28"/>
                <w:szCs w:val="28"/>
                <w:highlight w:val="none"/>
              </w:rPr>
              <w:t>个工作日</w:t>
            </w:r>
          </w:p>
        </w:tc>
      </w:tr>
      <w:tr w14:paraId="2F39705F">
        <w:tblPrEx>
          <w:tblCellMar>
            <w:top w:w="0" w:type="dxa"/>
            <w:left w:w="108" w:type="dxa"/>
            <w:bottom w:w="0" w:type="dxa"/>
            <w:right w:w="108" w:type="dxa"/>
          </w:tblCellMar>
        </w:tblPrEx>
        <w:trPr>
          <w:trHeight w:val="90" w:hRule="atLeast"/>
          <w:jc w:val="center"/>
        </w:trPr>
        <w:tc>
          <w:tcPr>
            <w:tcW w:w="4261" w:type="dxa"/>
            <w:tcBorders>
              <w:top w:val="single" w:color="000000" w:sz="4" w:space="0"/>
              <w:left w:val="single" w:color="000000" w:sz="4" w:space="0"/>
              <w:bottom w:val="single" w:color="000000" w:sz="4" w:space="0"/>
              <w:right w:val="single" w:color="000000" w:sz="4" w:space="0"/>
            </w:tcBorders>
            <w:noWrap w:val="0"/>
            <w:vAlign w:val="center"/>
          </w:tcPr>
          <w:p w14:paraId="264BBC5C">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560" w:firstLineChars="200"/>
              <w:jc w:val="left"/>
              <w:textAlignment w:val="auto"/>
              <w:outlineLvl w:val="9"/>
              <w:rPr>
                <w:rFonts w:hint="default" w:ascii="Times New Roman" w:hAnsi="Times New Roman" w:eastAsia="方正仿宋_GBK" w:cs="Times New Roman"/>
                <w:caps w:val="0"/>
                <w:color w:val="auto"/>
                <w:sz w:val="28"/>
                <w:szCs w:val="28"/>
                <w:highlight w:val="none"/>
              </w:rPr>
            </w:pPr>
            <w:r>
              <w:rPr>
                <w:rFonts w:hint="default" w:ascii="Times New Roman" w:hAnsi="Times New Roman" w:eastAsia="方正仿宋_GBK" w:cs="Times New Roman"/>
                <w:caps w:val="0"/>
                <w:color w:val="auto"/>
                <w:sz w:val="28"/>
                <w:szCs w:val="28"/>
                <w:highlight w:val="none"/>
              </w:rPr>
              <w:t>50万</w:t>
            </w:r>
            <w:r>
              <w:rPr>
                <w:rFonts w:hint="default" w:ascii="Times New Roman" w:hAnsi="Times New Roman" w:eastAsia="方正仿宋_GBK" w:cs="Times New Roman"/>
                <w:caps w:val="0"/>
                <w:color w:val="auto"/>
                <w:sz w:val="28"/>
                <w:szCs w:val="28"/>
                <w:highlight w:val="none"/>
                <w:lang w:eastAsia="zh-CN"/>
              </w:rPr>
              <w:t>-</w:t>
            </w:r>
            <w:r>
              <w:rPr>
                <w:rFonts w:hint="default" w:ascii="Times New Roman" w:hAnsi="Times New Roman" w:eastAsia="方正仿宋_GBK" w:cs="Times New Roman"/>
                <w:caps w:val="0"/>
                <w:color w:val="auto"/>
                <w:sz w:val="28"/>
                <w:szCs w:val="28"/>
                <w:highlight w:val="none"/>
              </w:rPr>
              <w:t>100万元（含）</w:t>
            </w:r>
          </w:p>
        </w:tc>
        <w:tc>
          <w:tcPr>
            <w:tcW w:w="4261" w:type="dxa"/>
            <w:tcBorders>
              <w:top w:val="single" w:color="000000" w:sz="4" w:space="0"/>
              <w:left w:val="nil"/>
              <w:bottom w:val="single" w:color="000000" w:sz="4" w:space="0"/>
              <w:right w:val="single" w:color="000000" w:sz="4" w:space="0"/>
            </w:tcBorders>
            <w:noWrap w:val="0"/>
            <w:vAlign w:val="center"/>
          </w:tcPr>
          <w:p w14:paraId="3F7DBCBE">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560" w:firstLineChars="200"/>
              <w:jc w:val="left"/>
              <w:textAlignment w:val="auto"/>
              <w:outlineLvl w:val="9"/>
              <w:rPr>
                <w:rFonts w:hint="default" w:ascii="Times New Roman" w:hAnsi="Times New Roman" w:eastAsia="方正仿宋_GBK" w:cs="Times New Roman"/>
                <w:caps w:val="0"/>
                <w:color w:val="auto"/>
                <w:sz w:val="28"/>
                <w:szCs w:val="28"/>
                <w:highlight w:val="none"/>
              </w:rPr>
            </w:pPr>
            <w:r>
              <w:rPr>
                <w:rFonts w:hint="eastAsia" w:ascii="Times New Roman" w:hAnsi="Times New Roman" w:eastAsia="方正仿宋_GBK" w:cs="Times New Roman"/>
                <w:caps w:val="0"/>
                <w:color w:val="auto"/>
                <w:sz w:val="28"/>
                <w:szCs w:val="28"/>
                <w:highlight w:val="none"/>
                <w:lang w:val="en-US" w:eastAsia="zh-CN"/>
              </w:rPr>
              <w:t>20</w:t>
            </w:r>
            <w:r>
              <w:rPr>
                <w:rFonts w:hint="default" w:ascii="Times New Roman" w:hAnsi="Times New Roman" w:eastAsia="方正仿宋_GBK" w:cs="Times New Roman"/>
                <w:caps w:val="0"/>
                <w:color w:val="auto"/>
                <w:sz w:val="28"/>
                <w:szCs w:val="28"/>
                <w:highlight w:val="none"/>
              </w:rPr>
              <w:t>个工作日</w:t>
            </w:r>
          </w:p>
        </w:tc>
      </w:tr>
      <w:tr w14:paraId="7290481D">
        <w:tblPrEx>
          <w:tblCellMar>
            <w:top w:w="0" w:type="dxa"/>
            <w:left w:w="108" w:type="dxa"/>
            <w:bottom w:w="0" w:type="dxa"/>
            <w:right w:w="108" w:type="dxa"/>
          </w:tblCellMar>
        </w:tblPrEx>
        <w:trPr>
          <w:jc w:val="center"/>
        </w:trPr>
        <w:tc>
          <w:tcPr>
            <w:tcW w:w="4261" w:type="dxa"/>
            <w:tcBorders>
              <w:top w:val="single" w:color="000000" w:sz="4" w:space="0"/>
              <w:left w:val="single" w:color="000000" w:sz="4" w:space="0"/>
              <w:bottom w:val="single" w:color="000000" w:sz="4" w:space="0"/>
              <w:right w:val="single" w:color="000000" w:sz="4" w:space="0"/>
            </w:tcBorders>
            <w:noWrap w:val="0"/>
            <w:vAlign w:val="center"/>
          </w:tcPr>
          <w:p w14:paraId="5AF958DF">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560" w:firstLineChars="200"/>
              <w:jc w:val="left"/>
              <w:textAlignment w:val="auto"/>
              <w:outlineLvl w:val="9"/>
              <w:rPr>
                <w:rFonts w:hint="default" w:ascii="Times New Roman" w:hAnsi="Times New Roman" w:eastAsia="方正仿宋_GBK" w:cs="Times New Roman"/>
                <w:caps w:val="0"/>
                <w:color w:val="auto"/>
                <w:sz w:val="28"/>
                <w:szCs w:val="28"/>
                <w:highlight w:val="none"/>
              </w:rPr>
            </w:pPr>
            <w:r>
              <w:rPr>
                <w:rFonts w:hint="default" w:ascii="Times New Roman" w:hAnsi="Times New Roman" w:eastAsia="方正仿宋_GBK" w:cs="Times New Roman"/>
                <w:caps w:val="0"/>
                <w:color w:val="auto"/>
                <w:sz w:val="28"/>
                <w:szCs w:val="28"/>
                <w:highlight w:val="none"/>
              </w:rPr>
              <w:t>100万元以上</w:t>
            </w:r>
          </w:p>
        </w:tc>
        <w:tc>
          <w:tcPr>
            <w:tcW w:w="4261" w:type="dxa"/>
            <w:tcBorders>
              <w:top w:val="single" w:color="000000" w:sz="4" w:space="0"/>
              <w:left w:val="nil"/>
              <w:bottom w:val="single" w:color="000000" w:sz="4" w:space="0"/>
              <w:right w:val="single" w:color="000000" w:sz="4" w:space="0"/>
            </w:tcBorders>
            <w:noWrap w:val="0"/>
            <w:vAlign w:val="center"/>
          </w:tcPr>
          <w:p w14:paraId="7585CAF2">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560" w:firstLineChars="200"/>
              <w:jc w:val="left"/>
              <w:textAlignment w:val="auto"/>
              <w:outlineLvl w:val="9"/>
              <w:rPr>
                <w:rFonts w:hint="default" w:ascii="Times New Roman" w:hAnsi="Times New Roman" w:eastAsia="方正仿宋_GBK" w:cs="Times New Roman"/>
                <w:caps w:val="0"/>
                <w:color w:val="auto"/>
                <w:sz w:val="28"/>
                <w:szCs w:val="28"/>
                <w:highlight w:val="none"/>
              </w:rPr>
            </w:pPr>
            <w:r>
              <w:rPr>
                <w:rFonts w:hint="eastAsia" w:ascii="Times New Roman" w:hAnsi="Times New Roman" w:eastAsia="方正仿宋_GBK" w:cs="Times New Roman"/>
                <w:caps w:val="0"/>
                <w:color w:val="auto"/>
                <w:sz w:val="28"/>
                <w:szCs w:val="28"/>
                <w:highlight w:val="none"/>
                <w:lang w:val="en-US" w:eastAsia="zh-CN"/>
              </w:rPr>
              <w:t>25</w:t>
            </w:r>
            <w:r>
              <w:rPr>
                <w:rFonts w:hint="default" w:ascii="Times New Roman" w:hAnsi="Times New Roman" w:eastAsia="方正仿宋_GBK" w:cs="Times New Roman"/>
                <w:caps w:val="0"/>
                <w:color w:val="auto"/>
                <w:sz w:val="28"/>
                <w:szCs w:val="28"/>
                <w:highlight w:val="none"/>
              </w:rPr>
              <w:t>个工作日</w:t>
            </w:r>
          </w:p>
        </w:tc>
      </w:tr>
    </w:tbl>
    <w:p w14:paraId="1EED107C">
      <w:pPr>
        <w:pStyle w:val="2"/>
        <w:spacing w:after="0" w:line="440" w:lineRule="exact"/>
        <w:ind w:firstLine="560" w:firstLineChars="200"/>
        <w:jc w:val="both"/>
        <w:rPr>
          <w:rFonts w:hint="default" w:ascii="Times New Roman" w:hAnsi="Times New Roman" w:eastAsia="方正仿宋_GBK" w:cs="Times New Roman"/>
          <w:b/>
          <w:bCs/>
          <w:caps w:val="0"/>
          <w:color w:val="auto"/>
          <w:kern w:val="2"/>
          <w:sz w:val="28"/>
          <w:szCs w:val="28"/>
          <w:highlight w:val="none"/>
          <w:lang w:val="en-US" w:eastAsia="zh-CN" w:bidi="ar-SA"/>
        </w:rPr>
      </w:pPr>
      <w:r>
        <w:rPr>
          <w:rFonts w:hint="eastAsia" w:ascii="Times New Roman" w:hAnsi="Times New Roman" w:eastAsia="方正仿宋_GBK" w:cs="Times New Roman"/>
          <w:b/>
          <w:bCs/>
          <w:caps w:val="0"/>
          <w:color w:val="auto"/>
          <w:kern w:val="2"/>
          <w:sz w:val="28"/>
          <w:szCs w:val="28"/>
          <w:highlight w:val="none"/>
          <w:lang w:val="en-US" w:eastAsia="zh-CN" w:bidi="ar-SA"/>
        </w:rPr>
        <w:t>6.其他要求</w:t>
      </w:r>
    </w:p>
    <w:p w14:paraId="53D0C511">
      <w:pPr>
        <w:bidi w:val="0"/>
        <w:spacing w:line="440" w:lineRule="exact"/>
        <w:ind w:left="0" w:leftChars="0" w:firstLine="560" w:firstLineChars="200"/>
        <w:rPr>
          <w:rFonts w:hint="eastAsia" w:ascii="Times New Roman" w:hAnsi="Times New Roman" w:eastAsia="方正仿宋_GBK" w:cs="Times New Roman"/>
          <w:color w:val="auto"/>
          <w:sz w:val="28"/>
          <w:highlight w:val="none"/>
        </w:rPr>
      </w:pPr>
      <w:r>
        <w:rPr>
          <w:rFonts w:hint="eastAsia" w:ascii="Times New Roman" w:hAnsi="Times New Roman" w:eastAsia="方正仿宋_GBK" w:cs="Times New Roman"/>
          <w:color w:val="auto"/>
          <w:sz w:val="28"/>
          <w:highlight w:val="none"/>
        </w:rPr>
        <w:t>为使</w:t>
      </w:r>
      <w:r>
        <w:rPr>
          <w:rFonts w:hint="eastAsia" w:eastAsia="方正仿宋_GBK" w:cs="Times New Roman"/>
          <w:color w:val="auto"/>
          <w:sz w:val="28"/>
          <w:highlight w:val="none"/>
          <w:lang w:eastAsia="zh-CN"/>
        </w:rPr>
        <w:t>被保险人</w:t>
      </w:r>
      <w:r>
        <w:rPr>
          <w:rFonts w:hint="eastAsia" w:ascii="Times New Roman" w:hAnsi="Times New Roman" w:eastAsia="方正仿宋_GBK" w:cs="Times New Roman"/>
          <w:color w:val="auto"/>
          <w:sz w:val="28"/>
          <w:highlight w:val="none"/>
        </w:rPr>
        <w:t>获得完善的保险服务，保险公司同意以下各项要求并将其视为未来保险合同的一部分，由保险双方共同遵守。</w:t>
      </w:r>
    </w:p>
    <w:p w14:paraId="536D4FAA">
      <w:pPr>
        <w:bidi w:val="0"/>
        <w:spacing w:line="440" w:lineRule="exact"/>
        <w:ind w:firstLine="560" w:firstLineChars="200"/>
        <w:rPr>
          <w:rFonts w:hint="eastAsia" w:ascii="Times New Roman" w:hAnsi="Times New Roman" w:eastAsia="方正仿宋_GBK" w:cs="Times New Roman"/>
          <w:color w:val="auto"/>
          <w:sz w:val="28"/>
          <w:highlight w:val="none"/>
        </w:rPr>
      </w:pPr>
      <w:r>
        <w:rPr>
          <w:rFonts w:hint="eastAsia" w:ascii="Times New Roman" w:hAnsi="Times New Roman" w:eastAsia="方正仿宋_GBK" w:cs="Times New Roman"/>
          <w:color w:val="auto"/>
          <w:sz w:val="28"/>
          <w:highlight w:val="none"/>
          <w:lang w:val="en-US" w:eastAsia="zh-CN"/>
        </w:rPr>
        <w:t>（1）</w:t>
      </w:r>
      <w:r>
        <w:rPr>
          <w:rFonts w:hint="eastAsia" w:ascii="Times New Roman" w:hAnsi="Times New Roman" w:eastAsia="方正仿宋_GBK" w:cs="Times New Roman"/>
          <w:color w:val="auto"/>
          <w:sz w:val="28"/>
          <w:highlight w:val="none"/>
        </w:rPr>
        <w:t>成立专项小组</w:t>
      </w:r>
    </w:p>
    <w:p w14:paraId="770EA7FE">
      <w:pPr>
        <w:bidi w:val="0"/>
        <w:spacing w:line="440" w:lineRule="exact"/>
        <w:ind w:firstLine="560" w:firstLineChars="200"/>
        <w:rPr>
          <w:rFonts w:hint="eastAsia" w:ascii="Times New Roman" w:hAnsi="Times New Roman" w:eastAsia="方正仿宋_GBK" w:cs="Times New Roman"/>
          <w:sz w:val="28"/>
          <w:highlight w:val="none"/>
        </w:rPr>
      </w:pPr>
      <w:r>
        <w:rPr>
          <w:rFonts w:hint="eastAsia" w:ascii="Times New Roman" w:hAnsi="Times New Roman" w:eastAsia="方正仿宋_GBK" w:cs="Times New Roman"/>
          <w:color w:val="auto"/>
          <w:sz w:val="28"/>
          <w:highlight w:val="none"/>
        </w:rPr>
        <w:t>连云港徐圩</w:t>
      </w:r>
      <w:r>
        <w:rPr>
          <w:rFonts w:hint="eastAsia" w:eastAsia="方正仿宋_GBK" w:cs="Times New Roman"/>
          <w:color w:val="auto"/>
          <w:sz w:val="28"/>
          <w:highlight w:val="none"/>
          <w:lang w:eastAsia="zh-CN"/>
        </w:rPr>
        <w:t>冷链保税服务</w:t>
      </w:r>
      <w:r>
        <w:rPr>
          <w:rFonts w:hint="eastAsia" w:ascii="Times New Roman" w:hAnsi="Times New Roman" w:eastAsia="方正仿宋_GBK" w:cs="Times New Roman"/>
          <w:color w:val="auto"/>
          <w:sz w:val="28"/>
          <w:highlight w:val="none"/>
        </w:rPr>
        <w:t>有限公司的</w:t>
      </w:r>
      <w:r>
        <w:rPr>
          <w:rFonts w:hint="eastAsia" w:eastAsia="方正仿宋_GBK" w:cs="Times New Roman"/>
          <w:color w:val="auto"/>
          <w:sz w:val="28"/>
          <w:highlight w:val="none"/>
          <w:lang w:eastAsia="zh-CN"/>
        </w:rPr>
        <w:t>冷链</w:t>
      </w:r>
      <w:r>
        <w:rPr>
          <w:rFonts w:hint="eastAsia" w:ascii="Times New Roman" w:hAnsi="Times New Roman" w:eastAsia="方正仿宋_GBK" w:cs="Times New Roman"/>
          <w:color w:val="auto"/>
          <w:sz w:val="28"/>
          <w:highlight w:val="none"/>
        </w:rPr>
        <w:t>综合保险项目，保险公司应</w:t>
      </w:r>
      <w:r>
        <w:rPr>
          <w:rFonts w:hint="eastAsia" w:ascii="Times New Roman" w:hAnsi="Times New Roman" w:eastAsia="方正仿宋_GBK" w:cs="Times New Roman"/>
          <w:sz w:val="28"/>
          <w:highlight w:val="none"/>
        </w:rPr>
        <w:t>成立服务小组，服务小组应由公司副总以上领导担任组长。</w:t>
      </w:r>
    </w:p>
    <w:p w14:paraId="7A381B9C">
      <w:pPr>
        <w:bidi w:val="0"/>
        <w:spacing w:line="440" w:lineRule="exact"/>
        <w:ind w:firstLine="560" w:firstLineChars="200"/>
        <w:rPr>
          <w:rFonts w:hint="eastAsia" w:ascii="Times New Roman" w:hAnsi="Times New Roman" w:eastAsia="方正仿宋_GBK" w:cs="Times New Roman"/>
          <w:sz w:val="28"/>
          <w:highlight w:val="none"/>
        </w:rPr>
      </w:pPr>
      <w:r>
        <w:rPr>
          <w:rFonts w:hint="eastAsia" w:ascii="Times New Roman" w:hAnsi="Times New Roman" w:eastAsia="方正仿宋_GBK" w:cs="Times New Roman"/>
          <w:sz w:val="28"/>
          <w:highlight w:val="none"/>
          <w:lang w:val="en-US" w:eastAsia="zh-CN"/>
        </w:rPr>
        <w:t>（2）</w:t>
      </w:r>
      <w:r>
        <w:rPr>
          <w:rFonts w:hint="eastAsia" w:ascii="Times New Roman" w:hAnsi="Times New Roman" w:eastAsia="方正仿宋_GBK" w:cs="Times New Roman"/>
          <w:sz w:val="28"/>
          <w:highlight w:val="none"/>
        </w:rPr>
        <w:t>赔偿处理</w:t>
      </w:r>
    </w:p>
    <w:p w14:paraId="55CB8A7A">
      <w:pPr>
        <w:bidi w:val="0"/>
        <w:spacing w:line="440" w:lineRule="exact"/>
        <w:ind w:firstLine="560" w:firstLineChars="200"/>
        <w:rPr>
          <w:rFonts w:hint="eastAsia" w:ascii="Times New Roman" w:hAnsi="Times New Roman" w:eastAsia="方正仿宋_GBK" w:cs="Times New Roman"/>
          <w:sz w:val="28"/>
          <w:highlight w:val="none"/>
        </w:rPr>
      </w:pPr>
      <w:r>
        <w:rPr>
          <w:rFonts w:hint="eastAsia" w:ascii="Times New Roman" w:hAnsi="Times New Roman" w:eastAsia="方正仿宋_GBK" w:cs="Times New Roman"/>
          <w:sz w:val="28"/>
          <w:highlight w:val="none"/>
          <w:lang w:val="en-US" w:eastAsia="zh-CN"/>
        </w:rPr>
        <w:t>①</w:t>
      </w:r>
      <w:r>
        <w:rPr>
          <w:rFonts w:hint="eastAsia" w:eastAsia="方正仿宋_GBK" w:cs="Times New Roman"/>
          <w:sz w:val="28"/>
          <w:highlight w:val="none"/>
          <w:lang w:eastAsia="zh-CN"/>
        </w:rPr>
        <w:t>保险人</w:t>
      </w:r>
      <w:r>
        <w:rPr>
          <w:rFonts w:hint="eastAsia" w:ascii="Times New Roman" w:hAnsi="Times New Roman" w:eastAsia="方正仿宋_GBK" w:cs="Times New Roman"/>
          <w:sz w:val="28"/>
          <w:highlight w:val="none"/>
        </w:rPr>
        <w:t>有24小时报案热线。一旦接到</w:t>
      </w:r>
      <w:r>
        <w:rPr>
          <w:rFonts w:hint="eastAsia" w:eastAsia="方正仿宋_GBK" w:cs="Times New Roman"/>
          <w:sz w:val="28"/>
          <w:highlight w:val="none"/>
          <w:lang w:eastAsia="zh-CN"/>
        </w:rPr>
        <w:t>被保险人</w:t>
      </w:r>
      <w:r>
        <w:rPr>
          <w:rFonts w:hint="eastAsia" w:ascii="Times New Roman" w:hAnsi="Times New Roman" w:eastAsia="方正仿宋_GBK" w:cs="Times New Roman"/>
          <w:sz w:val="28"/>
          <w:highlight w:val="none"/>
        </w:rPr>
        <w:t>保案通知，</w:t>
      </w:r>
      <w:r>
        <w:rPr>
          <w:rFonts w:hint="eastAsia" w:eastAsia="方正仿宋_GBK" w:cs="Times New Roman"/>
          <w:sz w:val="28"/>
          <w:highlight w:val="none"/>
          <w:lang w:eastAsia="zh-CN"/>
        </w:rPr>
        <w:t>保险人</w:t>
      </w:r>
      <w:r>
        <w:rPr>
          <w:rFonts w:hint="eastAsia" w:ascii="Times New Roman" w:hAnsi="Times New Roman" w:eastAsia="方正仿宋_GBK" w:cs="Times New Roman"/>
          <w:sz w:val="28"/>
          <w:highlight w:val="none"/>
        </w:rPr>
        <w:t>代表应在</w:t>
      </w:r>
      <w:r>
        <w:rPr>
          <w:rFonts w:hint="eastAsia" w:ascii="Times New Roman" w:hAnsi="Times New Roman" w:eastAsia="方正仿宋_GBK" w:cs="Times New Roman"/>
          <w:sz w:val="28"/>
          <w:highlight w:val="none"/>
          <w:lang w:val="en-US" w:eastAsia="zh-CN"/>
        </w:rPr>
        <w:t>3</w:t>
      </w:r>
      <w:r>
        <w:rPr>
          <w:rFonts w:hint="eastAsia" w:ascii="Times New Roman" w:hAnsi="Times New Roman" w:eastAsia="方正仿宋_GBK" w:cs="Times New Roman"/>
          <w:sz w:val="28"/>
          <w:highlight w:val="none"/>
        </w:rPr>
        <w:t>小时以内赶赴事故现场开始初步调查并提出止损建议，如果未能及时到达事故现场，则</w:t>
      </w:r>
      <w:r>
        <w:rPr>
          <w:rFonts w:hint="eastAsia" w:eastAsia="方正仿宋_GBK" w:cs="Times New Roman"/>
          <w:sz w:val="28"/>
          <w:highlight w:val="none"/>
          <w:lang w:eastAsia="zh-CN"/>
        </w:rPr>
        <w:t>保险人</w:t>
      </w:r>
      <w:r>
        <w:rPr>
          <w:rFonts w:hint="eastAsia" w:ascii="Times New Roman" w:hAnsi="Times New Roman" w:eastAsia="方正仿宋_GBK" w:cs="Times New Roman"/>
          <w:sz w:val="28"/>
          <w:highlight w:val="none"/>
        </w:rPr>
        <w:t>需认同</w:t>
      </w:r>
      <w:r>
        <w:rPr>
          <w:rFonts w:hint="eastAsia" w:eastAsia="方正仿宋_GBK" w:cs="Times New Roman"/>
          <w:sz w:val="28"/>
          <w:highlight w:val="none"/>
          <w:lang w:eastAsia="zh-CN"/>
        </w:rPr>
        <w:t>被保险人</w:t>
      </w:r>
      <w:r>
        <w:rPr>
          <w:rFonts w:hint="eastAsia" w:ascii="Times New Roman" w:hAnsi="Times New Roman" w:eastAsia="方正仿宋_GBK" w:cs="Times New Roman"/>
          <w:sz w:val="28"/>
          <w:highlight w:val="none"/>
        </w:rPr>
        <w:t>提供的事故材料。</w:t>
      </w:r>
    </w:p>
    <w:p w14:paraId="3C33F637">
      <w:pPr>
        <w:bidi w:val="0"/>
        <w:spacing w:line="440" w:lineRule="exact"/>
        <w:ind w:firstLine="560" w:firstLineChars="200"/>
        <w:rPr>
          <w:rFonts w:hint="eastAsia" w:ascii="Times New Roman" w:hAnsi="Times New Roman" w:eastAsia="方正仿宋_GBK" w:cs="Times New Roman"/>
          <w:sz w:val="28"/>
          <w:highlight w:val="none"/>
        </w:rPr>
      </w:pPr>
      <w:r>
        <w:rPr>
          <w:rFonts w:hint="eastAsia" w:ascii="Times New Roman" w:hAnsi="Times New Roman" w:eastAsia="方正仿宋_GBK" w:cs="Times New Roman"/>
          <w:sz w:val="28"/>
          <w:highlight w:val="none"/>
          <w:lang w:val="en-US" w:eastAsia="zh-CN"/>
        </w:rPr>
        <w:t>②</w:t>
      </w:r>
      <w:r>
        <w:rPr>
          <w:rFonts w:hint="eastAsia" w:eastAsia="方正仿宋_GBK" w:cs="Times New Roman"/>
          <w:sz w:val="28"/>
          <w:highlight w:val="none"/>
          <w:lang w:eastAsia="zh-CN"/>
        </w:rPr>
        <w:t>保险人</w:t>
      </w:r>
      <w:r>
        <w:rPr>
          <w:rFonts w:hint="eastAsia" w:ascii="Times New Roman" w:hAnsi="Times New Roman" w:eastAsia="方正仿宋_GBK" w:cs="Times New Roman"/>
          <w:sz w:val="28"/>
          <w:highlight w:val="none"/>
        </w:rPr>
        <w:t>不得以任何理由推卸、拖延和拒绝</w:t>
      </w:r>
      <w:r>
        <w:rPr>
          <w:rFonts w:hint="eastAsia" w:eastAsia="方正仿宋_GBK" w:cs="Times New Roman"/>
          <w:sz w:val="28"/>
          <w:highlight w:val="none"/>
          <w:lang w:eastAsia="zh-CN"/>
        </w:rPr>
        <w:t>被保险人</w:t>
      </w:r>
      <w:r>
        <w:rPr>
          <w:rFonts w:hint="eastAsia" w:ascii="Times New Roman" w:hAnsi="Times New Roman" w:eastAsia="方正仿宋_GBK" w:cs="Times New Roman"/>
          <w:sz w:val="28"/>
          <w:highlight w:val="none"/>
        </w:rPr>
        <w:t>索赔要求，除非有合理和足够的证据证明，否则其行为构成违约并须承担违约责任。</w:t>
      </w:r>
    </w:p>
    <w:p w14:paraId="04ED6830">
      <w:pPr>
        <w:bidi w:val="0"/>
        <w:spacing w:line="440" w:lineRule="exact"/>
        <w:ind w:firstLine="560" w:firstLineChars="200"/>
        <w:rPr>
          <w:rFonts w:hint="eastAsia" w:ascii="Times New Roman" w:hAnsi="Times New Roman" w:eastAsia="方正仿宋_GBK" w:cs="Times New Roman"/>
          <w:sz w:val="28"/>
          <w:highlight w:val="none"/>
        </w:rPr>
      </w:pPr>
      <w:r>
        <w:rPr>
          <w:rFonts w:hint="eastAsia" w:ascii="Times New Roman" w:hAnsi="Times New Roman" w:eastAsia="方正仿宋_GBK" w:cs="Times New Roman"/>
          <w:sz w:val="28"/>
          <w:highlight w:val="none"/>
          <w:lang w:val="en-US" w:eastAsia="zh-CN"/>
        </w:rPr>
        <w:t>③</w:t>
      </w:r>
      <w:r>
        <w:rPr>
          <w:rFonts w:hint="eastAsia" w:ascii="Times New Roman" w:hAnsi="Times New Roman" w:eastAsia="方正仿宋_GBK" w:cs="Times New Roman"/>
          <w:sz w:val="28"/>
          <w:highlight w:val="none"/>
        </w:rPr>
        <w:t>建立理赔绿色通道</w:t>
      </w:r>
    </w:p>
    <w:p w14:paraId="46069583">
      <w:pPr>
        <w:bidi w:val="0"/>
        <w:spacing w:line="440" w:lineRule="exact"/>
        <w:ind w:firstLine="560" w:firstLineChars="200"/>
        <w:rPr>
          <w:rFonts w:hint="default" w:ascii="Times New Roman" w:hAnsi="Times New Roman" w:eastAsia="方正仿宋_GBK" w:cs="Times New Roman"/>
          <w:sz w:val="28"/>
          <w:highlight w:val="none"/>
          <w:lang w:val="en-US"/>
        </w:rPr>
      </w:pPr>
      <w:r>
        <w:rPr>
          <w:rFonts w:hint="eastAsia" w:eastAsia="方正仿宋_GBK" w:cs="Times New Roman"/>
          <w:sz w:val="28"/>
          <w:highlight w:val="none"/>
          <w:lang w:eastAsia="zh-CN"/>
        </w:rPr>
        <w:t>保险人</w:t>
      </w:r>
      <w:r>
        <w:rPr>
          <w:rFonts w:hint="eastAsia" w:ascii="Times New Roman" w:hAnsi="Times New Roman" w:eastAsia="方正仿宋_GBK" w:cs="Times New Roman"/>
          <w:sz w:val="28"/>
          <w:highlight w:val="none"/>
        </w:rPr>
        <w:t>内部设立理赔“绿色通道”，保证理赔服务的主动、迅速、准确、合理，及时履行保险赔偿责任</w:t>
      </w:r>
      <w:r>
        <w:rPr>
          <w:rFonts w:hint="eastAsia" w:ascii="Times New Roman" w:hAnsi="Times New Roman" w:eastAsia="方正仿宋_GBK" w:cs="Times New Roman"/>
          <w:sz w:val="28"/>
          <w:highlight w:val="none"/>
          <w:lang w:eastAsia="zh-CN"/>
        </w:rPr>
        <w:t>。</w:t>
      </w:r>
      <w:r>
        <w:rPr>
          <w:rFonts w:hint="eastAsia" w:ascii="Times New Roman" w:hAnsi="Times New Roman" w:eastAsia="方正仿宋_GBK" w:cs="Times New Roman"/>
          <w:sz w:val="28"/>
          <w:highlight w:val="none"/>
          <w:lang w:val="en-US" w:eastAsia="zh-CN"/>
        </w:rPr>
        <w:t>事故发生后，</w:t>
      </w:r>
      <w:r>
        <w:rPr>
          <w:rFonts w:hint="eastAsia" w:eastAsia="方正仿宋_GBK" w:cs="Times New Roman"/>
          <w:sz w:val="28"/>
          <w:highlight w:val="none"/>
          <w:lang w:val="en-US" w:eastAsia="zh-CN"/>
        </w:rPr>
        <w:t>保险人</w:t>
      </w:r>
      <w:r>
        <w:rPr>
          <w:rFonts w:hint="eastAsia" w:ascii="Times New Roman" w:hAnsi="Times New Roman" w:eastAsia="方正仿宋_GBK" w:cs="Times New Roman"/>
          <w:sz w:val="28"/>
          <w:highlight w:val="none"/>
          <w:lang w:val="en-US" w:eastAsia="zh-CN"/>
        </w:rPr>
        <w:t>需第一时间告知</w:t>
      </w:r>
      <w:r>
        <w:rPr>
          <w:rFonts w:hint="eastAsia" w:eastAsia="方正仿宋_GBK" w:cs="Times New Roman"/>
          <w:sz w:val="28"/>
          <w:highlight w:val="none"/>
          <w:lang w:val="en-US" w:eastAsia="zh-CN"/>
        </w:rPr>
        <w:t>被保险人</w:t>
      </w:r>
      <w:r>
        <w:rPr>
          <w:rFonts w:hint="eastAsia" w:ascii="Times New Roman" w:hAnsi="Times New Roman" w:eastAsia="方正仿宋_GBK" w:cs="Times New Roman"/>
          <w:sz w:val="28"/>
          <w:highlight w:val="none"/>
          <w:lang w:val="en-US" w:eastAsia="zh-CN"/>
        </w:rPr>
        <w:t>需要提供的理赔材料，明确保险理赔处理时间，并配合</w:t>
      </w:r>
      <w:r>
        <w:rPr>
          <w:rFonts w:hint="eastAsia" w:eastAsia="方正仿宋_GBK" w:cs="Times New Roman"/>
          <w:sz w:val="28"/>
          <w:highlight w:val="none"/>
          <w:lang w:val="en-US" w:eastAsia="zh-CN"/>
        </w:rPr>
        <w:t>被保险人</w:t>
      </w:r>
      <w:r>
        <w:rPr>
          <w:rFonts w:hint="eastAsia" w:ascii="Times New Roman" w:hAnsi="Times New Roman" w:eastAsia="方正仿宋_GBK" w:cs="Times New Roman"/>
          <w:sz w:val="28"/>
          <w:highlight w:val="none"/>
          <w:lang w:val="en-US" w:eastAsia="zh-CN"/>
        </w:rPr>
        <w:t>做材料收集准备工作。未在理赔处理期限内完成理赔，</w:t>
      </w:r>
      <w:r>
        <w:rPr>
          <w:rFonts w:hint="eastAsia" w:eastAsia="方正仿宋_GBK" w:cs="Times New Roman"/>
          <w:sz w:val="28"/>
          <w:highlight w:val="none"/>
          <w:lang w:val="en-US" w:eastAsia="zh-CN"/>
        </w:rPr>
        <w:t>被保险人</w:t>
      </w:r>
      <w:r>
        <w:rPr>
          <w:rFonts w:hint="eastAsia" w:ascii="Times New Roman" w:hAnsi="Times New Roman" w:eastAsia="方正仿宋_GBK" w:cs="Times New Roman"/>
          <w:sz w:val="28"/>
          <w:highlight w:val="none"/>
          <w:lang w:val="en-US" w:eastAsia="zh-CN"/>
        </w:rPr>
        <w:t>有权要求更换业务经办人。</w:t>
      </w:r>
    </w:p>
    <w:p w14:paraId="167CEDAE">
      <w:pPr>
        <w:keepNext w:val="0"/>
        <w:keepLines w:val="0"/>
        <w:pageBreakBefore w:val="0"/>
        <w:widowControl w:val="0"/>
        <w:kinsoku/>
        <w:wordWrap/>
        <w:overflowPunct/>
        <w:topLinePunct w:val="0"/>
        <w:autoSpaceDE/>
        <w:autoSpaceDN/>
        <w:bidi w:val="0"/>
        <w:adjustRightInd/>
        <w:spacing w:line="440" w:lineRule="exact"/>
        <w:ind w:firstLine="560" w:firstLineChars="200"/>
        <w:textAlignment w:val="auto"/>
        <w:rPr>
          <w:rFonts w:hint="eastAsia" w:ascii="方正黑体_GBK" w:hAnsi="方正黑体_GBK" w:eastAsia="方正黑体_GBK" w:cs="方正黑体_GBK"/>
          <w:color w:val="000000"/>
          <w:sz w:val="28"/>
          <w:szCs w:val="28"/>
          <w:highlight w:val="none"/>
        </w:rPr>
      </w:pPr>
      <w:r>
        <w:rPr>
          <w:rFonts w:hint="eastAsia" w:ascii="方正黑体_GBK" w:hAnsi="方正黑体_GBK" w:eastAsia="方正黑体_GBK" w:cs="方正黑体_GBK"/>
          <w:color w:val="000000"/>
          <w:sz w:val="28"/>
          <w:szCs w:val="28"/>
          <w:highlight w:val="none"/>
          <w:lang w:val="en-US" w:eastAsia="zh-CN"/>
        </w:rPr>
        <w:t>八</w:t>
      </w:r>
      <w:r>
        <w:rPr>
          <w:rFonts w:hint="eastAsia" w:ascii="方正黑体_GBK" w:hAnsi="方正黑体_GBK" w:eastAsia="方正黑体_GBK" w:cs="方正黑体_GBK"/>
          <w:color w:val="000000"/>
          <w:sz w:val="28"/>
          <w:szCs w:val="28"/>
          <w:highlight w:val="none"/>
        </w:rPr>
        <w:t>、</w:t>
      </w:r>
      <w:r>
        <w:rPr>
          <w:rFonts w:hint="eastAsia" w:ascii="方正黑体_GBK" w:hAnsi="方正黑体_GBK" w:eastAsia="方正黑体_GBK" w:cs="方正黑体_GBK"/>
          <w:color w:val="000000"/>
          <w:sz w:val="28"/>
          <w:szCs w:val="28"/>
          <w:highlight w:val="none"/>
          <w:lang w:val="en-US" w:eastAsia="zh-CN"/>
        </w:rPr>
        <w:t>保单出具和</w:t>
      </w:r>
      <w:r>
        <w:rPr>
          <w:rFonts w:hint="eastAsia" w:ascii="方正黑体_GBK" w:hAnsi="方正黑体_GBK" w:eastAsia="方正黑体_GBK" w:cs="方正黑体_GBK"/>
          <w:color w:val="000000"/>
          <w:sz w:val="28"/>
          <w:szCs w:val="28"/>
          <w:highlight w:val="none"/>
        </w:rPr>
        <w:t>付款方式</w:t>
      </w:r>
    </w:p>
    <w:p w14:paraId="30C959F0">
      <w:pPr>
        <w:bidi w:val="0"/>
        <w:spacing w:line="440" w:lineRule="exact"/>
        <w:ind w:firstLine="560" w:firstLineChars="200"/>
        <w:rPr>
          <w:rFonts w:hint="default" w:ascii="Times New Roman" w:hAnsi="Times New Roman" w:eastAsia="方正仿宋_GBK" w:cs="Times New Roman"/>
          <w:sz w:val="28"/>
          <w:highlight w:val="none"/>
          <w:lang w:val="en-US" w:eastAsia="zh-CN"/>
        </w:rPr>
      </w:pPr>
      <w:r>
        <w:rPr>
          <w:rFonts w:hint="eastAsia" w:eastAsia="方正仿宋_GBK" w:cs="Times New Roman"/>
          <w:sz w:val="28"/>
          <w:highlight w:val="none"/>
          <w:lang w:val="en-US" w:eastAsia="zh-CN"/>
        </w:rPr>
        <w:t>按照周期年出具保单并开票付款，</w:t>
      </w:r>
      <w:r>
        <w:rPr>
          <w:rFonts w:hint="eastAsia" w:ascii="Times New Roman" w:hAnsi="Times New Roman" w:eastAsia="方正仿宋_GBK" w:cs="Times New Roman"/>
          <w:sz w:val="28"/>
          <w:highlight w:val="none"/>
          <w:lang w:val="en-US" w:eastAsia="zh-CN"/>
        </w:rPr>
        <w:t>具体如下：</w:t>
      </w:r>
    </w:p>
    <w:p w14:paraId="6FC180CF">
      <w:pPr>
        <w:bidi w:val="0"/>
        <w:spacing w:line="440" w:lineRule="exact"/>
        <w:ind w:firstLine="560" w:firstLineChars="200"/>
        <w:rPr>
          <w:rFonts w:hint="eastAsia" w:eastAsia="方正仿宋_GBK" w:cs="Times New Roman"/>
          <w:sz w:val="28"/>
          <w:highlight w:val="none"/>
          <w:lang w:val="en-US" w:eastAsia="zh-CN"/>
        </w:rPr>
      </w:pPr>
      <w:r>
        <w:rPr>
          <w:rFonts w:hint="eastAsia" w:eastAsia="方正仿宋_GBK" w:cs="Times New Roman"/>
          <w:sz w:val="28"/>
          <w:highlight w:val="none"/>
          <w:lang w:val="en-US" w:eastAsia="zh-CN"/>
        </w:rPr>
        <w:t>合同签订后，保险人按照要求出具第一个周期年的保单，并开具对应金额的增值税专用发票（税率6%），被保险人收到保单和发票并审核确认后在30日内向保险人支付相关保费。</w:t>
      </w:r>
    </w:p>
    <w:p w14:paraId="0A9800E6">
      <w:pPr>
        <w:bidi w:val="0"/>
        <w:spacing w:line="440" w:lineRule="exact"/>
        <w:ind w:firstLine="560" w:firstLineChars="200"/>
        <w:rPr>
          <w:rFonts w:hint="default" w:ascii="Times New Roman" w:hAnsi="Times New Roman" w:eastAsia="方正仿宋_GBK" w:cs="Times New Roman"/>
          <w:sz w:val="28"/>
          <w:highlight w:val="none"/>
          <w:lang w:val="en-US" w:eastAsia="zh-CN"/>
        </w:rPr>
      </w:pPr>
      <w:r>
        <w:rPr>
          <w:rFonts w:hint="eastAsia" w:eastAsia="方正仿宋_GBK" w:cs="Times New Roman"/>
          <w:sz w:val="28"/>
          <w:highlight w:val="none"/>
          <w:lang w:val="en-US" w:eastAsia="zh-CN"/>
        </w:rPr>
        <w:t>在第一批次保单到期前1个月内，保险人按照要求出具第二个周期年的保单，并开具对应金额的增值税专用发票（税率6%），被保险人收到保单和发票并审核确认后在30日内向保险人支付相关保费。</w:t>
      </w:r>
    </w:p>
    <w:p w14:paraId="325EEDEF">
      <w:pPr>
        <w:spacing w:line="560" w:lineRule="exact"/>
        <w:jc w:val="center"/>
        <w:rPr>
          <w:b/>
          <w:color w:val="000000"/>
          <w:sz w:val="36"/>
          <w:szCs w:val="36"/>
          <w:highlight w:val="none"/>
        </w:rPr>
      </w:pPr>
    </w:p>
    <w:p w14:paraId="5A8B504D">
      <w:pPr>
        <w:pStyle w:val="60"/>
        <w:rPr>
          <w:rFonts w:hint="default" w:ascii="方正楷体_GBK" w:hAnsi="方正楷体_GBK" w:eastAsia="方正楷体_GBK" w:cs="方正楷体_GBK"/>
          <w:color w:val="000000"/>
          <w:sz w:val="32"/>
          <w:szCs w:val="32"/>
          <w:highlight w:val="none"/>
          <w:lang w:val="en-US" w:eastAsia="zh-CN"/>
        </w:rPr>
        <w:sectPr>
          <w:headerReference r:id="rId13" w:type="default"/>
          <w:footerReference r:id="rId14" w:type="default"/>
          <w:pgSz w:w="11906" w:h="16838"/>
          <w:pgMar w:top="1797" w:right="1440" w:bottom="1797" w:left="1440" w:header="851" w:footer="992" w:gutter="0"/>
          <w:cols w:space="720" w:num="1"/>
          <w:docGrid w:type="linesAndChars" w:linePitch="312" w:charSpace="0"/>
        </w:sectPr>
      </w:pPr>
    </w:p>
    <w:p w14:paraId="5C56AA98">
      <w:pPr>
        <w:pStyle w:val="4"/>
        <w:ind w:firstLine="720"/>
        <w:jc w:val="center"/>
        <w:rPr>
          <w:highlight w:val="none"/>
        </w:rPr>
      </w:pPr>
      <w:bookmarkStart w:id="233" w:name="_Toc32023"/>
      <w:bookmarkStart w:id="234" w:name="_Toc10676"/>
      <w:bookmarkStart w:id="235" w:name="_Toc28650"/>
      <w:bookmarkStart w:id="236" w:name="_Toc1775"/>
      <w:bookmarkStart w:id="237" w:name="_Toc27460"/>
      <w:r>
        <w:rPr>
          <w:rFonts w:hint="eastAsia"/>
          <w:highlight w:val="none"/>
        </w:rPr>
        <w:t xml:space="preserve">第五章  </w:t>
      </w:r>
      <w:r>
        <w:rPr>
          <w:highlight w:val="none"/>
        </w:rPr>
        <w:t>合同条款及格式</w:t>
      </w:r>
      <w:bookmarkEnd w:id="233"/>
      <w:bookmarkEnd w:id="234"/>
      <w:bookmarkEnd w:id="235"/>
      <w:bookmarkEnd w:id="236"/>
      <w:bookmarkEnd w:id="237"/>
    </w:p>
    <w:p w14:paraId="1621426D">
      <w:pPr>
        <w:rPr>
          <w:highlight w:val="none"/>
        </w:rPr>
      </w:pPr>
    </w:p>
    <w:p w14:paraId="0360E6C5">
      <w:pPr>
        <w:pStyle w:val="60"/>
        <w:rPr>
          <w:highlight w:val="none"/>
        </w:rPr>
      </w:pPr>
    </w:p>
    <w:p w14:paraId="02850A4D">
      <w:pPr>
        <w:spacing w:line="360" w:lineRule="auto"/>
        <w:jc w:val="center"/>
        <w:rPr>
          <w:rFonts w:hint="eastAsia"/>
          <w:b/>
          <w:bCs/>
          <w:sz w:val="44"/>
          <w:highlight w:val="none"/>
          <w:lang w:eastAsia="zh-CN"/>
        </w:rPr>
      </w:pPr>
      <w:r>
        <w:rPr>
          <w:rFonts w:hint="eastAsia"/>
          <w:b/>
          <w:bCs/>
          <w:sz w:val="44"/>
          <w:highlight w:val="none"/>
          <w:lang w:eastAsia="zh-CN"/>
        </w:rPr>
        <w:t>2026-2028年综保区冷链保险服务</w:t>
      </w:r>
    </w:p>
    <w:p w14:paraId="0F648484">
      <w:pPr>
        <w:spacing w:line="360" w:lineRule="auto"/>
        <w:jc w:val="center"/>
        <w:rPr>
          <w:rFonts w:hint="eastAsia"/>
          <w:b/>
          <w:bCs/>
          <w:sz w:val="44"/>
          <w:highlight w:val="none"/>
        </w:rPr>
      </w:pPr>
      <w:r>
        <w:rPr>
          <w:rFonts w:hint="eastAsia"/>
          <w:b/>
          <w:bCs/>
          <w:sz w:val="44"/>
          <w:highlight w:val="none"/>
          <w:lang w:eastAsia="zh-CN"/>
        </w:rPr>
        <w:t>采购项目</w:t>
      </w:r>
    </w:p>
    <w:p w14:paraId="0EE70EF8">
      <w:pPr>
        <w:pStyle w:val="60"/>
        <w:rPr>
          <w:rFonts w:hint="eastAsia"/>
          <w:b/>
          <w:bCs/>
          <w:sz w:val="44"/>
          <w:highlight w:val="none"/>
        </w:rPr>
      </w:pPr>
    </w:p>
    <w:p w14:paraId="0B638E6B">
      <w:pPr>
        <w:pStyle w:val="60"/>
        <w:rPr>
          <w:rFonts w:hint="eastAsia"/>
          <w:b/>
          <w:bCs/>
          <w:sz w:val="44"/>
          <w:highlight w:val="none"/>
        </w:rPr>
      </w:pPr>
    </w:p>
    <w:p w14:paraId="24922DD0">
      <w:pPr>
        <w:spacing w:line="360" w:lineRule="auto"/>
        <w:ind w:firstLine="0" w:firstLineChars="0"/>
        <w:jc w:val="center"/>
        <w:rPr>
          <w:b/>
          <w:bCs/>
          <w:sz w:val="44"/>
          <w:highlight w:val="none"/>
        </w:rPr>
      </w:pPr>
      <w:r>
        <w:rPr>
          <w:rFonts w:hint="eastAsia"/>
          <w:b/>
          <w:bCs/>
          <w:sz w:val="44"/>
          <w:highlight w:val="none"/>
        </w:rPr>
        <w:t>合同协议书</w:t>
      </w:r>
    </w:p>
    <w:p w14:paraId="1874CD7C">
      <w:pPr>
        <w:spacing w:line="360" w:lineRule="auto"/>
        <w:ind w:firstLine="2791" w:firstLineChars="695"/>
        <w:rPr>
          <w:b/>
          <w:bCs/>
          <w:sz w:val="40"/>
          <w:szCs w:val="40"/>
          <w:highlight w:val="none"/>
        </w:rPr>
      </w:pPr>
    </w:p>
    <w:p w14:paraId="08EA302C">
      <w:pPr>
        <w:spacing w:line="360" w:lineRule="auto"/>
        <w:ind w:firstLine="720" w:firstLineChars="200"/>
        <w:rPr>
          <w:sz w:val="36"/>
          <w:szCs w:val="36"/>
          <w:highlight w:val="none"/>
        </w:rPr>
      </w:pPr>
    </w:p>
    <w:p w14:paraId="471F0808">
      <w:pPr>
        <w:spacing w:line="360" w:lineRule="auto"/>
        <w:jc w:val="center"/>
        <w:rPr>
          <w:b/>
          <w:bCs/>
          <w:sz w:val="36"/>
          <w:szCs w:val="36"/>
          <w:highlight w:val="none"/>
        </w:rPr>
      </w:pPr>
    </w:p>
    <w:p w14:paraId="55E08A4D">
      <w:pPr>
        <w:pStyle w:val="2"/>
        <w:ind w:left="63" w:right="63"/>
        <w:rPr>
          <w:highlight w:val="none"/>
        </w:rPr>
      </w:pPr>
    </w:p>
    <w:p w14:paraId="6666A287">
      <w:pPr>
        <w:spacing w:line="360" w:lineRule="auto"/>
        <w:ind w:firstLine="800" w:firstLineChars="200"/>
        <w:rPr>
          <w:sz w:val="40"/>
          <w:szCs w:val="22"/>
          <w:highlight w:val="none"/>
        </w:rPr>
      </w:pPr>
    </w:p>
    <w:p w14:paraId="406CBDC5">
      <w:pPr>
        <w:spacing w:line="360" w:lineRule="auto"/>
        <w:rPr>
          <w:sz w:val="40"/>
          <w:szCs w:val="22"/>
          <w:highlight w:val="none"/>
        </w:rPr>
      </w:pPr>
    </w:p>
    <w:p w14:paraId="26D7C02F">
      <w:pPr>
        <w:spacing w:line="360" w:lineRule="auto"/>
        <w:ind w:firstLine="723" w:firstLineChars="200"/>
        <w:rPr>
          <w:b/>
          <w:bCs/>
          <w:sz w:val="36"/>
          <w:szCs w:val="21"/>
          <w:highlight w:val="none"/>
        </w:rPr>
      </w:pPr>
      <w:r>
        <w:rPr>
          <w:b/>
          <w:bCs/>
          <w:sz w:val="36"/>
          <w:szCs w:val="21"/>
          <w:highlight w:val="none"/>
        </w:rPr>
        <w:t>采  购  人：</w:t>
      </w:r>
      <w:r>
        <w:rPr>
          <w:rFonts w:hint="eastAsia"/>
          <w:b/>
          <w:bCs/>
          <w:sz w:val="36"/>
          <w:szCs w:val="21"/>
          <w:highlight w:val="none"/>
          <w:lang w:eastAsia="zh-CN"/>
        </w:rPr>
        <w:t>连云港徐圩冷链保税服务有限公司</w:t>
      </w:r>
      <w:r>
        <w:rPr>
          <w:b/>
          <w:bCs/>
          <w:sz w:val="36"/>
          <w:szCs w:val="21"/>
          <w:highlight w:val="none"/>
        </w:rPr>
        <w:t xml:space="preserve">  </w:t>
      </w:r>
    </w:p>
    <w:p w14:paraId="37ED9076">
      <w:pPr>
        <w:spacing w:line="360" w:lineRule="auto"/>
        <w:ind w:left="2886" w:leftChars="342" w:hanging="2168" w:hangingChars="600"/>
        <w:rPr>
          <w:rFonts w:hint="eastAsia" w:eastAsia="宋体"/>
          <w:b/>
          <w:bCs/>
          <w:sz w:val="36"/>
          <w:szCs w:val="21"/>
          <w:highlight w:val="none"/>
          <w:lang w:eastAsia="zh-CN"/>
        </w:rPr>
      </w:pPr>
      <w:r>
        <w:rPr>
          <w:b/>
          <w:bCs/>
          <w:sz w:val="36"/>
          <w:szCs w:val="21"/>
          <w:highlight w:val="none"/>
        </w:rPr>
        <w:t>成</w:t>
      </w:r>
      <w:r>
        <w:rPr>
          <w:rFonts w:hint="eastAsia"/>
          <w:b/>
          <w:bCs/>
          <w:sz w:val="36"/>
          <w:szCs w:val="21"/>
          <w:highlight w:val="none"/>
        </w:rPr>
        <w:t xml:space="preserve">  交  人</w:t>
      </w:r>
      <w:r>
        <w:rPr>
          <w:b/>
          <w:bCs/>
          <w:sz w:val="36"/>
          <w:szCs w:val="21"/>
          <w:highlight w:val="none"/>
        </w:rPr>
        <w:t>：</w:t>
      </w:r>
      <w:r>
        <w:rPr>
          <w:rFonts w:hint="eastAsia"/>
          <w:b/>
          <w:bCs/>
          <w:sz w:val="36"/>
          <w:szCs w:val="21"/>
          <w:highlight w:val="none"/>
          <w:lang w:val="en-US" w:eastAsia="zh-CN"/>
        </w:rPr>
        <w:t xml:space="preserve"> </w:t>
      </w:r>
    </w:p>
    <w:p w14:paraId="176C6B69">
      <w:pPr>
        <w:spacing w:line="360" w:lineRule="auto"/>
        <w:ind w:firstLine="723" w:firstLineChars="200"/>
        <w:rPr>
          <w:b/>
          <w:bCs/>
          <w:sz w:val="36"/>
          <w:szCs w:val="21"/>
          <w:highlight w:val="none"/>
        </w:rPr>
      </w:pPr>
      <w:r>
        <w:rPr>
          <w:b/>
          <w:bCs/>
          <w:sz w:val="36"/>
          <w:szCs w:val="21"/>
          <w:highlight w:val="none"/>
        </w:rPr>
        <w:t>签 订 时 间：</w:t>
      </w:r>
    </w:p>
    <w:p w14:paraId="33B81A97">
      <w:pPr>
        <w:spacing w:line="360" w:lineRule="auto"/>
        <w:ind w:firstLine="723" w:firstLineChars="200"/>
        <w:rPr>
          <w:rFonts w:hint="default" w:ascii="Times New Roman" w:hAnsi="Times New Roman" w:eastAsia="宋体" w:cs="Times New Roman"/>
          <w:b/>
          <w:bCs/>
          <w:sz w:val="36"/>
          <w:szCs w:val="21"/>
          <w:highlight w:val="none"/>
        </w:rPr>
      </w:pPr>
      <w:r>
        <w:rPr>
          <w:rFonts w:hint="eastAsia" w:ascii="Times New Roman" w:hAnsi="Times New Roman" w:eastAsia="宋体" w:cs="Times New Roman"/>
          <w:b/>
          <w:bCs/>
          <w:sz w:val="36"/>
          <w:szCs w:val="21"/>
          <w:highlight w:val="none"/>
        </w:rPr>
        <w:t>签订地点：</w:t>
      </w:r>
      <w:r>
        <w:rPr>
          <w:rFonts w:hint="eastAsia" w:ascii="Times New Roman" w:hAnsi="Times New Roman" w:eastAsia="宋体" w:cs="Times New Roman"/>
          <w:b w:val="0"/>
          <w:bCs w:val="0"/>
          <w:sz w:val="36"/>
          <w:szCs w:val="21"/>
          <w:highlight w:val="none"/>
        </w:rPr>
        <w:t>连云港市徐圩新区</w:t>
      </w:r>
    </w:p>
    <w:p w14:paraId="5E4FBAD0">
      <w:pPr>
        <w:spacing w:line="360" w:lineRule="auto"/>
        <w:ind w:firstLine="723" w:firstLineChars="200"/>
        <w:rPr>
          <w:rFonts w:ascii="Times New Roman" w:hAnsi="Times New Roman" w:eastAsia="宋体" w:cs="Times New Roman"/>
          <w:b/>
          <w:bCs/>
          <w:sz w:val="36"/>
          <w:szCs w:val="21"/>
          <w:highlight w:val="none"/>
        </w:rPr>
      </w:pPr>
    </w:p>
    <w:p w14:paraId="4F9207B2">
      <w:pPr>
        <w:jc w:val="center"/>
        <w:rPr>
          <w:sz w:val="36"/>
          <w:highlight w:val="none"/>
        </w:rPr>
      </w:pPr>
      <w:r>
        <w:rPr>
          <w:sz w:val="36"/>
          <w:highlight w:val="none"/>
        </w:rPr>
        <w:br w:type="page"/>
      </w:r>
    </w:p>
    <w:p w14:paraId="4B17A5B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方正仿宋_GBK" w:cs="Times New Roman"/>
          <w:b/>
          <w:color w:val="auto"/>
          <w:sz w:val="44"/>
          <w:szCs w:val="44"/>
          <w:highlight w:val="none"/>
        </w:rPr>
      </w:pPr>
      <w:r>
        <w:rPr>
          <w:rFonts w:hint="default" w:ascii="Times New Roman" w:hAnsi="Times New Roman" w:eastAsia="方正仿宋_GBK" w:cs="Times New Roman"/>
          <w:b/>
          <w:color w:val="auto"/>
          <w:sz w:val="44"/>
          <w:szCs w:val="44"/>
          <w:highlight w:val="none"/>
        </w:rPr>
        <w:t>2026-2028年综保区冷链保险服务采购项目</w:t>
      </w:r>
    </w:p>
    <w:p w14:paraId="6F0C28D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方正仿宋_GBK" w:cs="Times New Roman"/>
          <w:b/>
          <w:color w:val="auto"/>
          <w:sz w:val="44"/>
          <w:szCs w:val="44"/>
          <w:highlight w:val="none"/>
        </w:rPr>
      </w:pPr>
      <w:r>
        <w:rPr>
          <w:rFonts w:hint="default" w:ascii="Times New Roman" w:hAnsi="Times New Roman" w:eastAsia="方正仿宋_GBK" w:cs="Times New Roman"/>
          <w:b/>
          <w:color w:val="auto"/>
          <w:sz w:val="44"/>
          <w:szCs w:val="44"/>
          <w:highlight w:val="none"/>
        </w:rPr>
        <w:t>合同</w:t>
      </w:r>
    </w:p>
    <w:p w14:paraId="18F9F7F5">
      <w:pPr>
        <w:spacing w:line="360" w:lineRule="auto"/>
        <w:ind w:firstLine="0" w:firstLineChars="0"/>
        <w:rPr>
          <w:rFonts w:hint="default" w:ascii="Times New Roman" w:hAnsi="Times New Roman" w:eastAsia="宋体" w:cs="Times New Roman"/>
          <w:color w:val="auto"/>
          <w:szCs w:val="22"/>
          <w:highlight w:val="none"/>
        </w:rPr>
      </w:pPr>
    </w:p>
    <w:p w14:paraId="48667355">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方正仿宋_GBK" w:cs="Times New Roman"/>
          <w:bCs/>
          <w:color w:val="auto"/>
          <w:sz w:val="28"/>
          <w:szCs w:val="28"/>
          <w:highlight w:val="none"/>
          <w:lang w:eastAsia="zh-CN"/>
        </w:rPr>
      </w:pPr>
      <w:r>
        <w:rPr>
          <w:rFonts w:hint="default" w:ascii="Times New Roman" w:hAnsi="Times New Roman" w:eastAsia="方正仿宋_GBK" w:cs="Times New Roman"/>
          <w:bCs/>
          <w:color w:val="auto"/>
          <w:sz w:val="28"/>
          <w:szCs w:val="28"/>
          <w:highlight w:val="none"/>
        </w:rPr>
        <w:t>甲方：</w:t>
      </w:r>
      <w:r>
        <w:rPr>
          <w:rFonts w:hint="eastAsia" w:ascii="Times New Roman" w:hAnsi="Times New Roman" w:eastAsia="方正仿宋_GBK" w:cs="Times New Roman"/>
          <w:bCs/>
          <w:color w:val="auto"/>
          <w:sz w:val="28"/>
          <w:szCs w:val="28"/>
          <w:highlight w:val="none"/>
          <w:lang w:val="en-US" w:eastAsia="zh-CN"/>
        </w:rPr>
        <w:t xml:space="preserve"> </w:t>
      </w:r>
    </w:p>
    <w:p w14:paraId="00F5177C">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方正仿宋_GBK" w:cs="Times New Roman"/>
          <w:color w:val="auto"/>
          <w:sz w:val="28"/>
          <w:szCs w:val="28"/>
          <w:highlight w:val="none"/>
          <w:lang w:eastAsia="zh-CN"/>
        </w:rPr>
      </w:pPr>
      <w:r>
        <w:rPr>
          <w:rFonts w:hint="default" w:ascii="Times New Roman" w:hAnsi="Times New Roman" w:eastAsia="方正仿宋_GBK" w:cs="Times New Roman"/>
          <w:color w:val="auto"/>
          <w:sz w:val="28"/>
          <w:szCs w:val="28"/>
          <w:highlight w:val="none"/>
        </w:rPr>
        <w:t>乙方：</w:t>
      </w:r>
      <w:r>
        <w:rPr>
          <w:rFonts w:hint="eastAsia" w:ascii="Times New Roman" w:hAnsi="Times New Roman" w:eastAsia="方正仿宋_GBK" w:cs="Times New Roman"/>
          <w:color w:val="auto"/>
          <w:sz w:val="28"/>
          <w:szCs w:val="28"/>
          <w:highlight w:val="none"/>
          <w:lang w:val="en-US" w:eastAsia="zh-CN"/>
        </w:rPr>
        <w:t xml:space="preserve"> </w:t>
      </w:r>
    </w:p>
    <w:p w14:paraId="5288034B">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lang w:val="en-US" w:eastAsia="zh-CN"/>
        </w:rPr>
      </w:pPr>
      <w:r>
        <w:rPr>
          <w:rFonts w:hint="default" w:ascii="Times New Roman" w:hAnsi="Times New Roman" w:eastAsia="方正仿宋_GBK" w:cs="Times New Roman"/>
          <w:color w:val="auto"/>
          <w:sz w:val="28"/>
          <w:szCs w:val="28"/>
          <w:highlight w:val="none"/>
        </w:rPr>
        <w:t>甲乙双方根</w:t>
      </w:r>
      <w:r>
        <w:rPr>
          <w:rFonts w:hint="default" w:ascii="Times New Roman" w:hAnsi="Times New Roman" w:eastAsia="方正仿宋_GBK" w:cs="Times New Roman"/>
          <w:color w:val="auto"/>
          <w:sz w:val="28"/>
          <w:szCs w:val="28"/>
          <w:highlight w:val="none"/>
          <w:lang w:val="en-US" w:eastAsia="zh-CN"/>
        </w:rPr>
        <w:t>据</w:t>
      </w:r>
      <w:r>
        <w:rPr>
          <w:rFonts w:hint="default" w:ascii="Times New Roman" w:hAnsi="Times New Roman" w:eastAsia="方正仿宋_GBK" w:cs="Times New Roman"/>
          <w:color w:val="auto"/>
          <w:sz w:val="28"/>
          <w:szCs w:val="28"/>
          <w:highlight w:val="none"/>
        </w:rPr>
        <w:t>《中华人民共和国</w:t>
      </w:r>
      <w:r>
        <w:rPr>
          <w:rFonts w:hint="default" w:ascii="Times New Roman" w:hAnsi="Times New Roman" w:eastAsia="方正仿宋_GBK" w:cs="Times New Roman"/>
          <w:color w:val="auto"/>
          <w:sz w:val="28"/>
          <w:szCs w:val="28"/>
          <w:highlight w:val="none"/>
          <w:lang w:val="en-US" w:eastAsia="zh-CN"/>
        </w:rPr>
        <w:t>民法典</w:t>
      </w:r>
      <w:r>
        <w:rPr>
          <w:rFonts w:hint="default" w:ascii="Times New Roman" w:hAnsi="Times New Roman" w:eastAsia="方正仿宋_GBK" w:cs="Times New Roman"/>
          <w:color w:val="auto"/>
          <w:sz w:val="28"/>
          <w:szCs w:val="28"/>
          <w:highlight w:val="none"/>
        </w:rPr>
        <w:t>》</w:t>
      </w:r>
      <w:r>
        <w:rPr>
          <w:rFonts w:hint="default" w:ascii="Times New Roman" w:hAnsi="Times New Roman" w:eastAsia="方正仿宋_GBK" w:cs="Times New Roman"/>
          <w:color w:val="auto"/>
          <w:sz w:val="28"/>
          <w:szCs w:val="28"/>
          <w:highlight w:val="none"/>
          <w:lang w:eastAsia="zh-CN"/>
        </w:rPr>
        <w:t>、</w:t>
      </w:r>
      <w:r>
        <w:rPr>
          <w:rFonts w:hint="default" w:ascii="Times New Roman" w:hAnsi="Times New Roman" w:eastAsia="方正仿宋_GBK" w:cs="Times New Roman"/>
          <w:color w:val="auto"/>
          <w:sz w:val="28"/>
          <w:szCs w:val="28"/>
          <w:highlight w:val="none"/>
        </w:rPr>
        <w:t>《中华人民共和国保险法》</w:t>
      </w:r>
      <w:r>
        <w:rPr>
          <w:rFonts w:hint="default" w:ascii="Times New Roman" w:hAnsi="Times New Roman" w:eastAsia="方正仿宋_GBK" w:cs="Times New Roman"/>
          <w:color w:val="auto"/>
          <w:sz w:val="28"/>
          <w:szCs w:val="28"/>
          <w:highlight w:val="none"/>
          <w:lang w:val="en-US" w:eastAsia="zh-CN"/>
        </w:rPr>
        <w:t>及</w:t>
      </w:r>
      <w:r>
        <w:rPr>
          <w:rFonts w:hint="default" w:ascii="Times New Roman" w:hAnsi="Times New Roman" w:eastAsia="方正仿宋_GBK" w:cs="Times New Roman"/>
          <w:color w:val="auto"/>
          <w:sz w:val="28"/>
          <w:szCs w:val="28"/>
          <w:highlight w:val="none"/>
        </w:rPr>
        <w:t>相关法律法规的规定，经</w:t>
      </w:r>
      <w:r>
        <w:rPr>
          <w:rFonts w:hint="default" w:ascii="Times New Roman" w:hAnsi="Times New Roman" w:eastAsia="方正仿宋_GBK" w:cs="Times New Roman"/>
          <w:color w:val="auto"/>
          <w:sz w:val="28"/>
          <w:szCs w:val="28"/>
          <w:highlight w:val="none"/>
          <w:lang w:val="en-US" w:eastAsia="zh-CN"/>
        </w:rPr>
        <w:t>双方充分友好协商，就甲方向乙方采购码头综合保险产品等事宜签订如下合同，以便双方遵照执行。</w:t>
      </w:r>
    </w:p>
    <w:p w14:paraId="3B5A9D3F">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合同的组成</w:t>
      </w:r>
    </w:p>
    <w:p w14:paraId="7527A884">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下列文件作为本合同的组成部分</w:t>
      </w:r>
      <w:r>
        <w:rPr>
          <w:rFonts w:hint="default" w:ascii="Times New Roman" w:hAnsi="Times New Roman" w:eastAsia="方正仿宋_GBK" w:cs="Times New Roman"/>
          <w:color w:val="auto"/>
          <w:sz w:val="28"/>
          <w:szCs w:val="28"/>
          <w:highlight w:val="none"/>
          <w:lang w:eastAsia="zh-CN"/>
        </w:rPr>
        <w:t>，</w:t>
      </w:r>
      <w:r>
        <w:rPr>
          <w:rFonts w:hint="default" w:ascii="Times New Roman" w:hAnsi="Times New Roman" w:eastAsia="方正仿宋_GBK" w:cs="Times New Roman"/>
          <w:color w:val="auto"/>
          <w:sz w:val="28"/>
          <w:szCs w:val="28"/>
          <w:highlight w:val="none"/>
        </w:rPr>
        <w:t>互为补充和解释，如有不清或相互矛盾之处，以顺序在前的为准，但甲、乙双方有特别约定的除外。</w:t>
      </w:r>
    </w:p>
    <w:p w14:paraId="7C24B81A">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w:t>
      </w:r>
      <w:r>
        <w:rPr>
          <w:rFonts w:hint="default" w:ascii="Times New Roman" w:hAnsi="Times New Roman" w:eastAsia="方正仿宋_GBK" w:cs="Times New Roman"/>
          <w:color w:val="auto"/>
          <w:sz w:val="28"/>
          <w:szCs w:val="28"/>
          <w:highlight w:val="none"/>
          <w:lang w:val="en-US" w:eastAsia="zh-CN"/>
        </w:rPr>
        <w:t>一</w:t>
      </w:r>
      <w:r>
        <w:rPr>
          <w:rFonts w:hint="default" w:ascii="Times New Roman" w:hAnsi="Times New Roman" w:eastAsia="方正仿宋_GBK" w:cs="Times New Roman"/>
          <w:color w:val="auto"/>
          <w:sz w:val="28"/>
          <w:szCs w:val="28"/>
          <w:highlight w:val="none"/>
        </w:rPr>
        <w:t>）本合同条款</w:t>
      </w:r>
    </w:p>
    <w:p w14:paraId="361E1463">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（二）</w:t>
      </w:r>
      <w:r>
        <w:rPr>
          <w:rFonts w:hint="default" w:ascii="Times New Roman" w:hAnsi="Times New Roman" w:eastAsia="方正仿宋_GBK" w:cs="Times New Roman"/>
          <w:color w:val="auto"/>
          <w:sz w:val="28"/>
          <w:szCs w:val="28"/>
          <w:highlight w:val="none"/>
          <w:lang w:val="en-US" w:eastAsia="zh-CN"/>
        </w:rPr>
        <w:t>报价</w:t>
      </w:r>
      <w:r>
        <w:rPr>
          <w:rFonts w:hint="default" w:ascii="Times New Roman" w:hAnsi="Times New Roman" w:eastAsia="方正仿宋_GBK" w:cs="Times New Roman"/>
          <w:color w:val="auto"/>
          <w:sz w:val="28"/>
          <w:szCs w:val="28"/>
          <w:highlight w:val="none"/>
        </w:rPr>
        <w:t>文件</w:t>
      </w:r>
    </w:p>
    <w:p w14:paraId="44CF9216">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w:t>
      </w:r>
      <w:r>
        <w:rPr>
          <w:rFonts w:hint="default" w:ascii="Times New Roman" w:hAnsi="Times New Roman" w:eastAsia="方正仿宋_GBK" w:cs="Times New Roman"/>
          <w:color w:val="auto"/>
          <w:sz w:val="28"/>
          <w:szCs w:val="28"/>
          <w:highlight w:val="none"/>
          <w:lang w:val="en-US" w:eastAsia="zh-CN"/>
        </w:rPr>
        <w:t>三</w:t>
      </w:r>
      <w:r>
        <w:rPr>
          <w:rFonts w:hint="default" w:ascii="Times New Roman" w:hAnsi="Times New Roman" w:eastAsia="方正仿宋_GBK" w:cs="Times New Roman"/>
          <w:color w:val="auto"/>
          <w:sz w:val="28"/>
          <w:szCs w:val="28"/>
          <w:highlight w:val="none"/>
        </w:rPr>
        <w:t>）</w:t>
      </w:r>
      <w:r>
        <w:rPr>
          <w:rFonts w:hint="default" w:ascii="Times New Roman" w:hAnsi="Times New Roman" w:eastAsia="方正仿宋_GBK" w:cs="Times New Roman"/>
          <w:color w:val="auto"/>
          <w:sz w:val="28"/>
          <w:szCs w:val="28"/>
          <w:highlight w:val="none"/>
          <w:lang w:val="en-US" w:eastAsia="zh-CN"/>
        </w:rPr>
        <w:t>项目任务书</w:t>
      </w:r>
    </w:p>
    <w:p w14:paraId="599D5FCF">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lang w:val="en-US" w:eastAsia="zh-CN"/>
        </w:rPr>
      </w:pPr>
      <w:r>
        <w:rPr>
          <w:rFonts w:hint="default" w:ascii="Times New Roman" w:hAnsi="Times New Roman" w:eastAsia="方正仿宋_GBK" w:cs="Times New Roman"/>
          <w:color w:val="auto"/>
          <w:sz w:val="28"/>
          <w:szCs w:val="28"/>
          <w:highlight w:val="none"/>
        </w:rPr>
        <w:t>第</w:t>
      </w:r>
      <w:r>
        <w:rPr>
          <w:rFonts w:hint="default" w:ascii="Times New Roman" w:hAnsi="Times New Roman" w:eastAsia="方正仿宋_GBK" w:cs="Times New Roman"/>
          <w:color w:val="auto"/>
          <w:sz w:val="28"/>
          <w:szCs w:val="28"/>
          <w:highlight w:val="none"/>
          <w:lang w:val="en-US" w:eastAsia="zh-CN"/>
        </w:rPr>
        <w:t>二</w:t>
      </w:r>
      <w:r>
        <w:rPr>
          <w:rFonts w:hint="default" w:ascii="Times New Roman" w:hAnsi="Times New Roman" w:eastAsia="方正仿宋_GBK" w:cs="Times New Roman"/>
          <w:color w:val="auto"/>
          <w:sz w:val="28"/>
          <w:szCs w:val="28"/>
          <w:highlight w:val="none"/>
        </w:rPr>
        <w:t xml:space="preserve">条  </w:t>
      </w:r>
      <w:r>
        <w:rPr>
          <w:rFonts w:hint="default" w:ascii="Times New Roman" w:hAnsi="Times New Roman" w:eastAsia="方正仿宋_GBK" w:cs="Times New Roman"/>
          <w:color w:val="auto"/>
          <w:sz w:val="28"/>
          <w:szCs w:val="28"/>
          <w:highlight w:val="none"/>
          <w:lang w:val="en-US" w:eastAsia="zh-CN"/>
        </w:rPr>
        <w:t>采购险种、保险标的、保费、保险期限、拓展条款</w:t>
      </w:r>
    </w:p>
    <w:p w14:paraId="4838740F">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lang w:val="en-US" w:eastAsia="zh-CN"/>
        </w:rPr>
      </w:pPr>
      <w:r>
        <w:rPr>
          <w:rFonts w:hint="default" w:ascii="Times New Roman" w:hAnsi="Times New Roman" w:eastAsia="方正仿宋_GBK" w:cs="Times New Roman"/>
          <w:color w:val="auto"/>
          <w:sz w:val="28"/>
          <w:szCs w:val="28"/>
          <w:highlight w:val="none"/>
          <w:lang w:val="en-US" w:eastAsia="zh-CN"/>
        </w:rPr>
        <w:t>详见《项目任务书》</w:t>
      </w:r>
    </w:p>
    <w:p w14:paraId="5F114582">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lang w:val="en-US" w:eastAsia="zh-CN"/>
        </w:rPr>
      </w:pPr>
      <w:r>
        <w:rPr>
          <w:rFonts w:hint="default" w:ascii="Times New Roman" w:hAnsi="Times New Roman" w:eastAsia="方正仿宋_GBK" w:cs="Times New Roman"/>
          <w:color w:val="auto"/>
          <w:sz w:val="28"/>
          <w:szCs w:val="28"/>
          <w:highlight w:val="none"/>
          <w:lang w:val="en-US" w:eastAsia="zh-CN"/>
        </w:rPr>
        <w:t>第三条 合同期限</w:t>
      </w:r>
    </w:p>
    <w:p w14:paraId="2D9CB8D7">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auto"/>
        <w:rPr>
          <w:rFonts w:hint="default" w:ascii="Times New Roman" w:hAnsi="Times New Roman" w:eastAsia="方正仿宋_GBK" w:cs="Times New Roman"/>
          <w:color w:val="auto"/>
          <w:sz w:val="28"/>
          <w:szCs w:val="28"/>
          <w:highlight w:val="none"/>
          <w:lang w:val="en-US" w:eastAsia="zh-CN"/>
        </w:rPr>
      </w:pPr>
      <w:r>
        <w:rPr>
          <w:rFonts w:hint="default" w:ascii="Times New Roman" w:hAnsi="Times New Roman" w:eastAsia="方正仿宋_GBK" w:cs="Times New Roman"/>
          <w:b/>
          <w:bCs/>
          <w:color w:val="auto"/>
          <w:sz w:val="28"/>
          <w:szCs w:val="28"/>
          <w:highlight w:val="none"/>
          <w:lang w:val="en-US" w:eastAsia="zh-CN"/>
        </w:rPr>
        <w:t>本</w:t>
      </w:r>
      <w:r>
        <w:rPr>
          <w:rFonts w:hint="default" w:ascii="Times New Roman" w:hAnsi="Times New Roman" w:eastAsia="方正仿宋_GBK" w:cs="Times New Roman"/>
          <w:b/>
          <w:bCs/>
          <w:color w:val="auto"/>
          <w:sz w:val="28"/>
          <w:szCs w:val="28"/>
          <w:highlight w:val="none"/>
        </w:rPr>
        <w:t>合同期限</w:t>
      </w:r>
      <w:r>
        <w:rPr>
          <w:rFonts w:hint="eastAsia" w:ascii="Times New Roman" w:hAnsi="Times New Roman" w:eastAsia="方正仿宋_GBK" w:cs="Times New Roman"/>
          <w:b/>
          <w:bCs/>
          <w:color w:val="auto"/>
          <w:sz w:val="28"/>
          <w:szCs w:val="28"/>
          <w:highlight w:val="none"/>
          <w:lang w:val="en-US" w:eastAsia="zh-CN"/>
        </w:rPr>
        <w:t>贰</w:t>
      </w:r>
      <w:r>
        <w:rPr>
          <w:rFonts w:hint="default" w:ascii="Times New Roman" w:hAnsi="Times New Roman" w:eastAsia="方正仿宋_GBK" w:cs="Times New Roman"/>
          <w:b/>
          <w:bCs/>
          <w:color w:val="auto"/>
          <w:sz w:val="28"/>
          <w:szCs w:val="28"/>
          <w:highlight w:val="none"/>
        </w:rPr>
        <w:t>年</w:t>
      </w:r>
      <w:r>
        <w:rPr>
          <w:rFonts w:hint="default" w:ascii="Times New Roman" w:hAnsi="Times New Roman" w:eastAsia="方正仿宋_GBK" w:cs="Times New Roman"/>
          <w:color w:val="auto"/>
          <w:sz w:val="28"/>
          <w:szCs w:val="28"/>
          <w:highlight w:val="none"/>
        </w:rPr>
        <w:t>（</w:t>
      </w:r>
      <w:r>
        <w:rPr>
          <w:rFonts w:hint="eastAsia" w:ascii="Times New Roman" w:hAnsi="Times New Roman" w:eastAsia="方正仿宋_GBK" w:cs="Times New Roman"/>
          <w:color w:val="auto"/>
          <w:sz w:val="28"/>
          <w:szCs w:val="28"/>
          <w:highlight w:val="none"/>
          <w:lang w:val="en-US" w:eastAsia="zh-CN"/>
        </w:rPr>
        <w:t>730</w:t>
      </w:r>
      <w:r>
        <w:rPr>
          <w:rFonts w:hint="default" w:ascii="Times New Roman" w:hAnsi="Times New Roman" w:eastAsia="方正仿宋_GBK" w:cs="Times New Roman"/>
          <w:color w:val="auto"/>
          <w:sz w:val="28"/>
          <w:szCs w:val="28"/>
          <w:highlight w:val="none"/>
        </w:rPr>
        <w:t>日历天）</w:t>
      </w:r>
      <w:r>
        <w:rPr>
          <w:rFonts w:hint="default" w:ascii="Times New Roman" w:hAnsi="Times New Roman" w:eastAsia="方正仿宋_GBK" w:cs="Times New Roman"/>
          <w:color w:val="auto"/>
          <w:sz w:val="28"/>
          <w:szCs w:val="28"/>
          <w:highlight w:val="none"/>
          <w:lang w:val="en-US" w:eastAsia="zh-CN"/>
        </w:rPr>
        <w:t>，保险期限的开始时间以保险单上约定的生效时间为准。</w:t>
      </w:r>
    </w:p>
    <w:p w14:paraId="7FC78FAC">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lang w:val="en-US" w:eastAsia="zh-CN"/>
        </w:rPr>
      </w:pPr>
      <w:r>
        <w:rPr>
          <w:rFonts w:hint="default" w:ascii="Times New Roman" w:hAnsi="Times New Roman" w:eastAsia="方正仿宋_GBK" w:cs="Times New Roman"/>
          <w:color w:val="auto"/>
          <w:sz w:val="28"/>
          <w:szCs w:val="28"/>
          <w:highlight w:val="none"/>
          <w:lang w:val="en-US" w:eastAsia="zh-CN"/>
        </w:rPr>
        <w:t>第四条 付款方式</w:t>
      </w:r>
    </w:p>
    <w:p w14:paraId="581EBB3F">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lang w:val="en-US" w:eastAsia="zh-CN"/>
        </w:rPr>
        <w:t>本合同</w:t>
      </w:r>
      <w:r>
        <w:rPr>
          <w:rFonts w:hint="default" w:ascii="Times New Roman" w:hAnsi="Times New Roman" w:eastAsia="方正仿宋_GBK" w:cs="Times New Roman"/>
          <w:color w:val="auto"/>
          <w:sz w:val="28"/>
          <w:szCs w:val="28"/>
          <w:highlight w:val="none"/>
        </w:rPr>
        <w:t>金额</w:t>
      </w:r>
      <w:r>
        <w:rPr>
          <w:rFonts w:hint="default" w:ascii="Times New Roman" w:hAnsi="Times New Roman" w:eastAsia="方正仿宋_GBK" w:cs="Times New Roman"/>
          <w:color w:val="auto"/>
          <w:sz w:val="28"/>
          <w:szCs w:val="28"/>
          <w:highlight w:val="none"/>
          <w:lang w:val="en-US" w:eastAsia="zh-CN"/>
        </w:rPr>
        <w:t>为人民币</w:t>
      </w:r>
      <w:r>
        <w:rPr>
          <w:rFonts w:hint="default" w:ascii="Times New Roman" w:hAnsi="Times New Roman" w:eastAsia="方正仿宋_GBK" w:cs="Times New Roman"/>
          <w:color w:val="auto"/>
          <w:sz w:val="28"/>
          <w:szCs w:val="28"/>
          <w:highlight w:val="none"/>
          <w:u w:val="single"/>
          <w:lang w:val="en-US" w:eastAsia="zh-CN"/>
        </w:rPr>
        <w:t xml:space="preserve"> </w:t>
      </w:r>
      <w:r>
        <w:rPr>
          <w:rFonts w:hint="eastAsia" w:ascii="Times New Roman" w:hAnsi="Times New Roman" w:eastAsia="方正仿宋_GBK" w:cs="Times New Roman"/>
          <w:color w:val="auto"/>
          <w:sz w:val="28"/>
          <w:szCs w:val="28"/>
          <w:highlight w:val="none"/>
          <w:u w:val="single"/>
          <w:lang w:val="en-US" w:eastAsia="zh-CN"/>
        </w:rPr>
        <w:t xml:space="preserve"> </w:t>
      </w:r>
      <w:r>
        <w:rPr>
          <w:rFonts w:hint="default" w:ascii="Times New Roman" w:hAnsi="Times New Roman" w:eastAsia="方正仿宋_GBK" w:cs="Times New Roman"/>
          <w:color w:val="auto"/>
          <w:sz w:val="28"/>
          <w:szCs w:val="28"/>
          <w:highlight w:val="none"/>
          <w:u w:val="single"/>
          <w:lang w:val="en-US" w:eastAsia="zh-CN"/>
        </w:rPr>
        <w:t xml:space="preserve">  </w:t>
      </w:r>
      <w:r>
        <w:rPr>
          <w:rFonts w:hint="default" w:ascii="Times New Roman" w:hAnsi="Times New Roman" w:eastAsia="方正仿宋_GBK" w:cs="Times New Roman"/>
          <w:color w:val="auto"/>
          <w:sz w:val="28"/>
          <w:szCs w:val="28"/>
          <w:highlight w:val="none"/>
        </w:rPr>
        <w:t>（大写：</w:t>
      </w:r>
      <w:r>
        <w:rPr>
          <w:rFonts w:hint="eastAsia" w:ascii="Times New Roman" w:hAnsi="Times New Roman" w:eastAsia="方正仿宋_GBK" w:cs="Times New Roman"/>
          <w:color w:val="auto"/>
          <w:sz w:val="28"/>
          <w:szCs w:val="28"/>
          <w:highlight w:val="none"/>
          <w:lang w:val="en-US" w:eastAsia="zh-CN"/>
        </w:rPr>
        <w:t xml:space="preserve">  </w:t>
      </w:r>
      <w:r>
        <w:rPr>
          <w:rFonts w:hint="default" w:ascii="Times New Roman" w:hAnsi="Times New Roman" w:eastAsia="方正仿宋_GBK" w:cs="Times New Roman"/>
          <w:color w:val="auto"/>
          <w:sz w:val="28"/>
          <w:szCs w:val="28"/>
          <w:highlight w:val="none"/>
        </w:rPr>
        <w:t>)</w:t>
      </w:r>
      <w:r>
        <w:rPr>
          <w:rFonts w:hint="eastAsia" w:ascii="Times New Roman" w:hAnsi="Times New Roman" w:eastAsia="方正仿宋_GBK" w:cs="Times New Roman"/>
          <w:color w:val="auto"/>
          <w:sz w:val="28"/>
          <w:szCs w:val="28"/>
          <w:highlight w:val="none"/>
          <w:lang w:eastAsia="zh-CN"/>
        </w:rPr>
        <w:t>，</w:t>
      </w:r>
      <w:r>
        <w:rPr>
          <w:rFonts w:hint="eastAsia" w:ascii="Times New Roman" w:hAnsi="Times New Roman" w:eastAsia="方正仿宋_GBK" w:cs="Times New Roman"/>
          <w:color w:val="auto"/>
          <w:sz w:val="28"/>
          <w:szCs w:val="28"/>
          <w:highlight w:val="none"/>
          <w:lang w:val="en-US" w:eastAsia="zh-CN"/>
        </w:rPr>
        <w:t>详见附件1</w:t>
      </w:r>
      <w:r>
        <w:rPr>
          <w:rFonts w:hint="default" w:ascii="Times New Roman" w:hAnsi="Times New Roman" w:eastAsia="方正仿宋_GBK" w:cs="Times New Roman"/>
          <w:color w:val="auto"/>
          <w:sz w:val="28"/>
          <w:szCs w:val="28"/>
          <w:highlight w:val="none"/>
          <w:lang w:eastAsia="zh-CN"/>
        </w:rPr>
        <w:t>。</w:t>
      </w:r>
      <w:r>
        <w:rPr>
          <w:rFonts w:hint="default" w:ascii="Times New Roman" w:hAnsi="Times New Roman" w:eastAsia="方正仿宋_GBK" w:cs="Times New Roman"/>
          <w:color w:val="auto"/>
          <w:sz w:val="28"/>
          <w:szCs w:val="28"/>
          <w:highlight w:val="none"/>
          <w:lang w:val="en-US" w:eastAsia="zh-CN"/>
        </w:rPr>
        <w:t>包括保费、</w:t>
      </w:r>
      <w:r>
        <w:rPr>
          <w:rFonts w:hint="default" w:ascii="Times New Roman" w:hAnsi="Times New Roman" w:eastAsia="方正仿宋_GBK" w:cs="Times New Roman"/>
          <w:color w:val="auto"/>
          <w:sz w:val="28"/>
          <w:szCs w:val="28"/>
          <w:highlight w:val="none"/>
        </w:rPr>
        <w:t>税费</w:t>
      </w:r>
      <w:r>
        <w:rPr>
          <w:rFonts w:hint="default" w:ascii="Times New Roman" w:hAnsi="Times New Roman" w:eastAsia="方正仿宋_GBK" w:cs="Times New Roman"/>
          <w:color w:val="auto"/>
          <w:sz w:val="28"/>
          <w:szCs w:val="28"/>
          <w:highlight w:val="none"/>
          <w:lang w:eastAsia="zh-CN"/>
        </w:rPr>
        <w:t>（</w:t>
      </w:r>
      <w:r>
        <w:rPr>
          <w:rFonts w:hint="default" w:ascii="Times New Roman" w:hAnsi="Times New Roman" w:eastAsia="方正仿宋_GBK" w:cs="Times New Roman"/>
          <w:color w:val="auto"/>
          <w:sz w:val="28"/>
          <w:szCs w:val="28"/>
          <w:highlight w:val="none"/>
          <w:lang w:val="en-US" w:eastAsia="zh-CN"/>
        </w:rPr>
        <w:t>税率6%</w:t>
      </w:r>
      <w:r>
        <w:rPr>
          <w:rFonts w:hint="default" w:ascii="Times New Roman" w:hAnsi="Times New Roman" w:eastAsia="方正仿宋_GBK" w:cs="Times New Roman"/>
          <w:color w:val="auto"/>
          <w:sz w:val="28"/>
          <w:szCs w:val="28"/>
          <w:highlight w:val="none"/>
          <w:lang w:eastAsia="zh-CN"/>
        </w:rPr>
        <w:t>）</w:t>
      </w:r>
      <w:r>
        <w:rPr>
          <w:rFonts w:hint="default" w:ascii="Times New Roman" w:hAnsi="Times New Roman" w:eastAsia="方正仿宋_GBK" w:cs="Times New Roman"/>
          <w:color w:val="auto"/>
          <w:sz w:val="28"/>
          <w:szCs w:val="28"/>
          <w:highlight w:val="none"/>
        </w:rPr>
        <w:t>等一切相关费用，因国家税制改革引发增值税税率的变化，本合同应适用调整后最新税率，合同原约定的不含税价不因税率变化而改变。</w:t>
      </w:r>
    </w:p>
    <w:p w14:paraId="4BA1D292">
      <w:pPr>
        <w:bidi w:val="0"/>
        <w:ind w:firstLine="562" w:firstLineChars="200"/>
        <w:rPr>
          <w:rFonts w:hint="default" w:ascii="Times New Roman" w:hAnsi="Times New Roman" w:eastAsia="方正仿宋_GBK" w:cs="Times New Roman"/>
          <w:b/>
          <w:bCs/>
          <w:sz w:val="28"/>
          <w:highlight w:val="none"/>
          <w:lang w:val="en-US" w:eastAsia="zh-CN"/>
        </w:rPr>
      </w:pPr>
      <w:r>
        <w:rPr>
          <w:rFonts w:hint="eastAsia" w:eastAsia="方正仿宋_GBK" w:cs="Times New Roman"/>
          <w:b/>
          <w:bCs/>
          <w:sz w:val="28"/>
          <w:highlight w:val="none"/>
          <w:lang w:val="en-US" w:eastAsia="zh-CN"/>
        </w:rPr>
        <w:t>本项目按照周期年出具保单并开票付款，</w:t>
      </w:r>
      <w:r>
        <w:rPr>
          <w:rFonts w:hint="eastAsia" w:ascii="Times New Roman" w:hAnsi="Times New Roman" w:eastAsia="方正仿宋_GBK" w:cs="Times New Roman"/>
          <w:b/>
          <w:bCs/>
          <w:sz w:val="28"/>
          <w:highlight w:val="none"/>
          <w:lang w:val="en-US" w:eastAsia="zh-CN"/>
        </w:rPr>
        <w:t>具体如下：</w:t>
      </w:r>
    </w:p>
    <w:p w14:paraId="4E560F1C">
      <w:pPr>
        <w:bidi w:val="0"/>
        <w:ind w:firstLine="562" w:firstLineChars="200"/>
        <w:rPr>
          <w:rFonts w:hint="eastAsia" w:eastAsia="方正仿宋_GBK" w:cs="Times New Roman"/>
          <w:b/>
          <w:bCs/>
          <w:sz w:val="28"/>
          <w:highlight w:val="none"/>
          <w:lang w:val="en-US" w:eastAsia="zh-CN"/>
        </w:rPr>
      </w:pPr>
      <w:r>
        <w:rPr>
          <w:rFonts w:hint="eastAsia" w:eastAsia="方正仿宋_GBK" w:cs="Times New Roman"/>
          <w:b/>
          <w:bCs/>
          <w:sz w:val="28"/>
          <w:highlight w:val="none"/>
          <w:lang w:val="en-US" w:eastAsia="zh-CN"/>
        </w:rPr>
        <w:t>合同签订后，保险人按照要求出具第一个周期年的保单，并开具对应金额的增值税专用发票（税率6%），被保险人收到保单和发票并审核确认后在30日内向保险人支付相关保费。</w:t>
      </w:r>
    </w:p>
    <w:p w14:paraId="032F1DBB">
      <w:pPr>
        <w:bidi w:val="0"/>
        <w:ind w:firstLine="562" w:firstLineChars="200"/>
        <w:rPr>
          <w:rFonts w:hint="default" w:ascii="Times New Roman" w:hAnsi="Times New Roman" w:eastAsia="方正仿宋_GBK" w:cs="Times New Roman"/>
          <w:b/>
          <w:bCs/>
          <w:sz w:val="28"/>
          <w:highlight w:val="none"/>
          <w:lang w:val="en-US" w:eastAsia="zh-CN"/>
        </w:rPr>
      </w:pPr>
      <w:r>
        <w:rPr>
          <w:rFonts w:hint="eastAsia" w:eastAsia="方正仿宋_GBK" w:cs="Times New Roman"/>
          <w:b/>
          <w:bCs/>
          <w:sz w:val="28"/>
          <w:highlight w:val="none"/>
          <w:lang w:val="en-US" w:eastAsia="zh-CN"/>
        </w:rPr>
        <w:t>在第一批次保单到期前1个月内，保险人按照要求出具第二个周期年的保单，并开具对应金额的增值税专用发票（税率6%），被保险人收到保单和发票并审核确认后在30日内向保险人支付相关保费。</w:t>
      </w:r>
    </w:p>
    <w:p w14:paraId="240AE8F2">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lang w:val="en-US" w:eastAsia="zh-CN"/>
        </w:rPr>
        <w:t xml:space="preserve">第五条  </w:t>
      </w:r>
      <w:r>
        <w:rPr>
          <w:rFonts w:hint="default" w:ascii="Times New Roman" w:hAnsi="Times New Roman" w:eastAsia="方正仿宋_GBK" w:cs="Times New Roman"/>
          <w:color w:val="auto"/>
          <w:sz w:val="28"/>
          <w:szCs w:val="28"/>
          <w:highlight w:val="none"/>
        </w:rPr>
        <w:t>协议承诺</w:t>
      </w:r>
    </w:p>
    <w:p w14:paraId="448C70F5">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合作期限内，甲方确认乙方为其保险供应商。乙方应按甲方的要求为其提供保险供应及有关服务。</w:t>
      </w:r>
    </w:p>
    <w:p w14:paraId="34E4474D">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lang w:val="en-US" w:eastAsia="zh-CN"/>
        </w:rPr>
        <w:t>第六条</w:t>
      </w:r>
      <w:r>
        <w:rPr>
          <w:rFonts w:hint="default" w:ascii="Times New Roman" w:hAnsi="Times New Roman" w:eastAsia="方正仿宋_GBK" w:cs="Times New Roman"/>
          <w:color w:val="auto"/>
          <w:sz w:val="28"/>
          <w:szCs w:val="28"/>
          <w:highlight w:val="none"/>
        </w:rPr>
        <w:t xml:space="preserve"> 甲方责任、权利、义务</w:t>
      </w:r>
    </w:p>
    <w:p w14:paraId="55E268F9">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lang w:eastAsia="zh-CN"/>
        </w:rPr>
        <w:t>（</w:t>
      </w:r>
      <w:r>
        <w:rPr>
          <w:rFonts w:hint="default" w:ascii="Times New Roman" w:hAnsi="Times New Roman" w:eastAsia="方正仿宋_GBK" w:cs="Times New Roman"/>
          <w:color w:val="auto"/>
          <w:sz w:val="28"/>
          <w:szCs w:val="28"/>
          <w:highlight w:val="none"/>
          <w:lang w:val="en-US" w:eastAsia="zh-CN"/>
        </w:rPr>
        <w:t>一</w:t>
      </w:r>
      <w:r>
        <w:rPr>
          <w:rFonts w:hint="default" w:ascii="Times New Roman" w:hAnsi="Times New Roman" w:eastAsia="方正仿宋_GBK" w:cs="Times New Roman"/>
          <w:color w:val="auto"/>
          <w:sz w:val="28"/>
          <w:szCs w:val="28"/>
          <w:highlight w:val="none"/>
          <w:lang w:eastAsia="zh-CN"/>
        </w:rPr>
        <w:t>）</w:t>
      </w:r>
      <w:r>
        <w:rPr>
          <w:rFonts w:hint="default" w:ascii="Times New Roman" w:hAnsi="Times New Roman" w:eastAsia="方正仿宋_GBK" w:cs="Times New Roman"/>
          <w:color w:val="auto"/>
          <w:sz w:val="28"/>
          <w:szCs w:val="28"/>
          <w:highlight w:val="none"/>
        </w:rPr>
        <w:t>甲方按照合同的约定提供购买保险所需的基本资料，并及时足额支付保费。</w:t>
      </w:r>
    </w:p>
    <w:p w14:paraId="24C73BDA">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lang w:eastAsia="zh-CN"/>
        </w:rPr>
        <w:t>（</w:t>
      </w:r>
      <w:r>
        <w:rPr>
          <w:rFonts w:hint="default" w:ascii="Times New Roman" w:hAnsi="Times New Roman" w:eastAsia="方正仿宋_GBK" w:cs="Times New Roman"/>
          <w:color w:val="auto"/>
          <w:sz w:val="28"/>
          <w:szCs w:val="28"/>
          <w:highlight w:val="none"/>
          <w:lang w:val="en-US" w:eastAsia="zh-CN"/>
        </w:rPr>
        <w:t>二</w:t>
      </w:r>
      <w:r>
        <w:rPr>
          <w:rFonts w:hint="default" w:ascii="Times New Roman" w:hAnsi="Times New Roman" w:eastAsia="方正仿宋_GBK" w:cs="Times New Roman"/>
          <w:color w:val="auto"/>
          <w:sz w:val="28"/>
          <w:szCs w:val="28"/>
          <w:highlight w:val="none"/>
          <w:lang w:eastAsia="zh-CN"/>
        </w:rPr>
        <w:t>）</w:t>
      </w:r>
      <w:r>
        <w:rPr>
          <w:rFonts w:hint="default" w:ascii="Times New Roman" w:hAnsi="Times New Roman" w:eastAsia="方正仿宋_GBK" w:cs="Times New Roman"/>
          <w:color w:val="auto"/>
          <w:sz w:val="28"/>
          <w:szCs w:val="28"/>
          <w:highlight w:val="none"/>
        </w:rPr>
        <w:t>甲方负责监督乙方的保险条款设定、理赔进度、定点维修等，并提出整改的权利。</w:t>
      </w:r>
    </w:p>
    <w:p w14:paraId="0D260FB6">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lang w:eastAsia="zh-CN"/>
        </w:rPr>
        <w:t>（</w:t>
      </w:r>
      <w:r>
        <w:rPr>
          <w:rFonts w:hint="default" w:ascii="Times New Roman" w:hAnsi="Times New Roman" w:eastAsia="方正仿宋_GBK" w:cs="Times New Roman"/>
          <w:color w:val="auto"/>
          <w:sz w:val="28"/>
          <w:szCs w:val="28"/>
          <w:highlight w:val="none"/>
          <w:lang w:val="en-US" w:eastAsia="zh-CN"/>
        </w:rPr>
        <w:t>三</w:t>
      </w:r>
      <w:r>
        <w:rPr>
          <w:rFonts w:hint="default" w:ascii="Times New Roman" w:hAnsi="Times New Roman" w:eastAsia="方正仿宋_GBK" w:cs="Times New Roman"/>
          <w:color w:val="auto"/>
          <w:sz w:val="28"/>
          <w:szCs w:val="28"/>
          <w:highlight w:val="none"/>
          <w:lang w:eastAsia="zh-CN"/>
        </w:rPr>
        <w:t>）</w:t>
      </w:r>
      <w:r>
        <w:rPr>
          <w:rFonts w:hint="default" w:ascii="Times New Roman" w:hAnsi="Times New Roman" w:eastAsia="方正仿宋_GBK" w:cs="Times New Roman"/>
          <w:color w:val="auto"/>
          <w:sz w:val="28"/>
          <w:szCs w:val="28"/>
          <w:highlight w:val="none"/>
        </w:rPr>
        <w:t>做好各工序的统筹安排。</w:t>
      </w:r>
    </w:p>
    <w:p w14:paraId="1C87CEC4">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lang w:val="en-US" w:eastAsia="zh-CN"/>
        </w:rPr>
        <w:t>第七条 乙</w:t>
      </w:r>
      <w:r>
        <w:rPr>
          <w:rFonts w:hint="default" w:ascii="Times New Roman" w:hAnsi="Times New Roman" w:eastAsia="方正仿宋_GBK" w:cs="Times New Roman"/>
          <w:color w:val="auto"/>
          <w:sz w:val="28"/>
          <w:szCs w:val="28"/>
          <w:highlight w:val="none"/>
        </w:rPr>
        <w:t>方责任、权利、义务</w:t>
      </w:r>
    </w:p>
    <w:p w14:paraId="03FBABD6">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lang w:eastAsia="zh-CN"/>
        </w:rPr>
        <w:t>（</w:t>
      </w:r>
      <w:r>
        <w:rPr>
          <w:rFonts w:hint="default" w:ascii="Times New Roman" w:hAnsi="Times New Roman" w:eastAsia="方正仿宋_GBK" w:cs="Times New Roman"/>
          <w:color w:val="auto"/>
          <w:sz w:val="28"/>
          <w:szCs w:val="28"/>
          <w:highlight w:val="none"/>
          <w:lang w:val="en-US" w:eastAsia="zh-CN"/>
        </w:rPr>
        <w:t>一</w:t>
      </w:r>
      <w:r>
        <w:rPr>
          <w:rFonts w:hint="default" w:ascii="Times New Roman" w:hAnsi="Times New Roman" w:eastAsia="方正仿宋_GBK" w:cs="Times New Roman"/>
          <w:color w:val="auto"/>
          <w:sz w:val="28"/>
          <w:szCs w:val="28"/>
          <w:highlight w:val="none"/>
          <w:lang w:eastAsia="zh-CN"/>
        </w:rPr>
        <w:t>）</w:t>
      </w:r>
      <w:r>
        <w:rPr>
          <w:rFonts w:hint="default" w:ascii="Times New Roman" w:hAnsi="Times New Roman" w:eastAsia="方正仿宋_GBK" w:cs="Times New Roman"/>
          <w:color w:val="auto"/>
          <w:sz w:val="28"/>
          <w:szCs w:val="28"/>
          <w:highlight w:val="none"/>
        </w:rPr>
        <w:t>乙方</w:t>
      </w:r>
      <w:r>
        <w:rPr>
          <w:rFonts w:hint="default" w:ascii="Times New Roman" w:hAnsi="Times New Roman" w:eastAsia="方正仿宋_GBK" w:cs="Times New Roman"/>
          <w:color w:val="auto"/>
          <w:sz w:val="28"/>
          <w:szCs w:val="28"/>
          <w:highlight w:val="none"/>
          <w:lang w:val="en-US" w:eastAsia="zh-CN"/>
        </w:rPr>
        <w:t>应严格</w:t>
      </w:r>
      <w:r>
        <w:rPr>
          <w:rFonts w:hint="default" w:ascii="Times New Roman" w:hAnsi="Times New Roman" w:eastAsia="方正仿宋_GBK" w:cs="Times New Roman"/>
          <w:color w:val="auto"/>
          <w:sz w:val="28"/>
          <w:szCs w:val="28"/>
          <w:highlight w:val="none"/>
        </w:rPr>
        <w:t>按</w:t>
      </w:r>
      <w:r>
        <w:rPr>
          <w:rFonts w:hint="default" w:ascii="Times New Roman" w:hAnsi="Times New Roman" w:eastAsia="方正仿宋_GBK" w:cs="Times New Roman"/>
          <w:color w:val="auto"/>
          <w:sz w:val="28"/>
          <w:szCs w:val="28"/>
          <w:highlight w:val="none"/>
          <w:lang w:val="en-US" w:eastAsia="zh-CN"/>
        </w:rPr>
        <w:t>照</w:t>
      </w:r>
      <w:r>
        <w:rPr>
          <w:rFonts w:hint="default" w:ascii="Times New Roman" w:hAnsi="Times New Roman" w:eastAsia="方正仿宋_GBK" w:cs="Times New Roman"/>
          <w:color w:val="auto"/>
          <w:sz w:val="28"/>
          <w:szCs w:val="28"/>
          <w:highlight w:val="none"/>
        </w:rPr>
        <w:t>本合同确定</w:t>
      </w:r>
      <w:r>
        <w:rPr>
          <w:rFonts w:hint="default" w:ascii="Times New Roman" w:hAnsi="Times New Roman" w:eastAsia="方正仿宋_GBK" w:cs="Times New Roman"/>
          <w:color w:val="auto"/>
          <w:sz w:val="28"/>
          <w:szCs w:val="28"/>
          <w:highlight w:val="none"/>
          <w:lang w:val="en-US" w:eastAsia="zh-CN"/>
        </w:rPr>
        <w:t>的</w:t>
      </w:r>
      <w:r>
        <w:rPr>
          <w:rFonts w:hint="default" w:ascii="Times New Roman" w:hAnsi="Times New Roman" w:eastAsia="方正仿宋_GBK" w:cs="Times New Roman"/>
          <w:color w:val="auto"/>
          <w:sz w:val="28"/>
          <w:szCs w:val="28"/>
          <w:highlight w:val="none"/>
        </w:rPr>
        <w:t>保险品种、质量要求、价格、服务等</w:t>
      </w:r>
      <w:r>
        <w:rPr>
          <w:rFonts w:hint="default" w:ascii="Times New Roman" w:hAnsi="Times New Roman" w:eastAsia="方正仿宋_GBK" w:cs="Times New Roman"/>
          <w:color w:val="auto"/>
          <w:sz w:val="28"/>
          <w:szCs w:val="28"/>
          <w:highlight w:val="none"/>
          <w:lang w:val="en-US" w:eastAsia="zh-CN"/>
        </w:rPr>
        <w:t>事项履行，并保证产品</w:t>
      </w:r>
      <w:r>
        <w:rPr>
          <w:rFonts w:hint="default" w:ascii="Times New Roman" w:hAnsi="Times New Roman" w:eastAsia="方正仿宋_GBK" w:cs="Times New Roman"/>
          <w:color w:val="auto"/>
          <w:sz w:val="28"/>
          <w:szCs w:val="28"/>
          <w:highlight w:val="none"/>
        </w:rPr>
        <w:t>符合国家</w:t>
      </w:r>
      <w:r>
        <w:rPr>
          <w:rFonts w:hint="default" w:ascii="Times New Roman" w:hAnsi="Times New Roman" w:eastAsia="方正仿宋_GBK" w:cs="Times New Roman"/>
          <w:color w:val="auto"/>
          <w:sz w:val="28"/>
          <w:szCs w:val="28"/>
          <w:highlight w:val="none"/>
          <w:lang w:val="en-US" w:eastAsia="zh-CN"/>
        </w:rPr>
        <w:t>银</w:t>
      </w:r>
      <w:r>
        <w:rPr>
          <w:rFonts w:hint="default" w:ascii="Times New Roman" w:hAnsi="Times New Roman" w:eastAsia="方正仿宋_GBK" w:cs="Times New Roman"/>
          <w:color w:val="auto"/>
          <w:sz w:val="28"/>
          <w:szCs w:val="28"/>
          <w:highlight w:val="none"/>
        </w:rPr>
        <w:t>保监会</w:t>
      </w:r>
      <w:r>
        <w:rPr>
          <w:rFonts w:hint="default" w:ascii="Times New Roman" w:hAnsi="Times New Roman" w:eastAsia="方正仿宋_GBK" w:cs="Times New Roman"/>
          <w:color w:val="auto"/>
          <w:sz w:val="28"/>
          <w:szCs w:val="28"/>
          <w:highlight w:val="none"/>
          <w:lang w:val="en-US" w:eastAsia="zh-CN"/>
        </w:rPr>
        <w:t>要求。</w:t>
      </w:r>
    </w:p>
    <w:p w14:paraId="72B14381">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lang w:eastAsia="zh-CN"/>
        </w:rPr>
        <w:t>（</w:t>
      </w:r>
      <w:r>
        <w:rPr>
          <w:rFonts w:hint="default" w:ascii="Times New Roman" w:hAnsi="Times New Roman" w:eastAsia="方正仿宋_GBK" w:cs="Times New Roman"/>
          <w:color w:val="auto"/>
          <w:sz w:val="28"/>
          <w:szCs w:val="28"/>
          <w:highlight w:val="none"/>
          <w:lang w:val="en-US" w:eastAsia="zh-CN"/>
        </w:rPr>
        <w:t>二</w:t>
      </w:r>
      <w:r>
        <w:rPr>
          <w:rFonts w:hint="default" w:ascii="Times New Roman" w:hAnsi="Times New Roman" w:eastAsia="方正仿宋_GBK" w:cs="Times New Roman"/>
          <w:color w:val="auto"/>
          <w:sz w:val="28"/>
          <w:szCs w:val="28"/>
          <w:highlight w:val="none"/>
          <w:lang w:eastAsia="zh-CN"/>
        </w:rPr>
        <w:t>）</w:t>
      </w:r>
      <w:r>
        <w:rPr>
          <w:rFonts w:hint="default" w:ascii="Times New Roman" w:hAnsi="Times New Roman" w:eastAsia="方正仿宋_GBK" w:cs="Times New Roman"/>
          <w:color w:val="auto"/>
          <w:sz w:val="28"/>
          <w:szCs w:val="28"/>
          <w:highlight w:val="none"/>
        </w:rPr>
        <w:t>乙方所提供的险种必须符合国家</w:t>
      </w:r>
      <w:r>
        <w:rPr>
          <w:rFonts w:hint="default" w:ascii="Times New Roman" w:hAnsi="Times New Roman" w:eastAsia="方正仿宋_GBK" w:cs="Times New Roman"/>
          <w:color w:val="auto"/>
          <w:sz w:val="28"/>
          <w:szCs w:val="28"/>
          <w:highlight w:val="none"/>
          <w:lang w:val="en-US" w:eastAsia="zh-CN"/>
        </w:rPr>
        <w:t>银</w:t>
      </w:r>
      <w:r>
        <w:rPr>
          <w:rFonts w:hint="default" w:ascii="Times New Roman" w:hAnsi="Times New Roman" w:eastAsia="方正仿宋_GBK" w:cs="Times New Roman"/>
          <w:color w:val="auto"/>
          <w:sz w:val="28"/>
          <w:szCs w:val="28"/>
          <w:highlight w:val="none"/>
        </w:rPr>
        <w:t>保监会规定的保险标准。</w:t>
      </w:r>
    </w:p>
    <w:p w14:paraId="223C55A1">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lang w:eastAsia="zh-CN"/>
        </w:rPr>
        <w:t>（</w:t>
      </w:r>
      <w:r>
        <w:rPr>
          <w:rFonts w:hint="default" w:ascii="Times New Roman" w:hAnsi="Times New Roman" w:eastAsia="方正仿宋_GBK" w:cs="Times New Roman"/>
          <w:color w:val="auto"/>
          <w:sz w:val="28"/>
          <w:szCs w:val="28"/>
          <w:highlight w:val="none"/>
          <w:lang w:val="en-US" w:eastAsia="zh-CN"/>
        </w:rPr>
        <w:t>三</w:t>
      </w:r>
      <w:r>
        <w:rPr>
          <w:rFonts w:hint="default" w:ascii="Times New Roman" w:hAnsi="Times New Roman" w:eastAsia="方正仿宋_GBK" w:cs="Times New Roman"/>
          <w:color w:val="auto"/>
          <w:sz w:val="28"/>
          <w:szCs w:val="28"/>
          <w:highlight w:val="none"/>
          <w:lang w:eastAsia="zh-CN"/>
        </w:rPr>
        <w:t>）</w:t>
      </w:r>
      <w:r>
        <w:rPr>
          <w:rFonts w:hint="default" w:ascii="Times New Roman" w:hAnsi="Times New Roman" w:eastAsia="方正仿宋_GBK" w:cs="Times New Roman"/>
          <w:color w:val="auto"/>
          <w:sz w:val="28"/>
          <w:szCs w:val="28"/>
          <w:highlight w:val="none"/>
        </w:rPr>
        <w:t>乙方应保证提供给甲方的服务，符合招标文件规定的质量要求。</w:t>
      </w:r>
    </w:p>
    <w:p w14:paraId="2ED1A87C">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lang w:eastAsia="zh-CN"/>
        </w:rPr>
        <w:t>（</w:t>
      </w:r>
      <w:r>
        <w:rPr>
          <w:rFonts w:hint="default" w:ascii="Times New Roman" w:hAnsi="Times New Roman" w:eastAsia="方正仿宋_GBK" w:cs="Times New Roman"/>
          <w:color w:val="auto"/>
          <w:sz w:val="28"/>
          <w:szCs w:val="28"/>
          <w:highlight w:val="none"/>
          <w:lang w:val="en-US" w:eastAsia="zh-CN"/>
        </w:rPr>
        <w:t>四</w:t>
      </w:r>
      <w:r>
        <w:rPr>
          <w:rFonts w:hint="default" w:ascii="Times New Roman" w:hAnsi="Times New Roman" w:eastAsia="方正仿宋_GBK" w:cs="Times New Roman"/>
          <w:color w:val="auto"/>
          <w:sz w:val="28"/>
          <w:szCs w:val="28"/>
          <w:highlight w:val="none"/>
          <w:lang w:eastAsia="zh-CN"/>
        </w:rPr>
        <w:t>）</w:t>
      </w:r>
      <w:r>
        <w:rPr>
          <w:rFonts w:hint="default" w:ascii="Times New Roman" w:hAnsi="Times New Roman" w:eastAsia="方正仿宋_GBK" w:cs="Times New Roman"/>
          <w:color w:val="auto"/>
          <w:sz w:val="28"/>
          <w:szCs w:val="28"/>
          <w:highlight w:val="none"/>
        </w:rPr>
        <w:t>乙方应提供良好的售后服务，包括报案、现场</w:t>
      </w:r>
      <w:r>
        <w:rPr>
          <w:rFonts w:hint="default" w:ascii="Times New Roman" w:hAnsi="Times New Roman" w:eastAsia="方正仿宋_GBK" w:cs="Times New Roman"/>
          <w:color w:val="auto"/>
          <w:sz w:val="28"/>
          <w:szCs w:val="28"/>
          <w:highlight w:val="none"/>
          <w:lang w:val="en-US" w:eastAsia="zh-CN"/>
        </w:rPr>
        <w:t>查勘</w:t>
      </w:r>
      <w:r>
        <w:rPr>
          <w:rFonts w:hint="default" w:ascii="Times New Roman" w:hAnsi="Times New Roman" w:eastAsia="方正仿宋_GBK" w:cs="Times New Roman"/>
          <w:color w:val="auto"/>
          <w:sz w:val="28"/>
          <w:szCs w:val="28"/>
          <w:highlight w:val="none"/>
        </w:rPr>
        <w:t>、理赔等的服务。若甲方提出要求，乙方有义务免费为甲方提供咨询服务制定实施方案等相关需求。当甲方报案时，尽量简化程序，如确需到现场勘察，不得超过</w:t>
      </w:r>
      <w:r>
        <w:rPr>
          <w:rFonts w:hint="default" w:ascii="Times New Roman" w:hAnsi="Times New Roman" w:eastAsia="方正仿宋_GBK" w:cs="Times New Roman"/>
          <w:color w:val="auto"/>
          <w:sz w:val="28"/>
          <w:szCs w:val="28"/>
          <w:highlight w:val="none"/>
          <w:lang w:val="en-US" w:eastAsia="zh-CN"/>
        </w:rPr>
        <w:t>2小时</w:t>
      </w:r>
      <w:r>
        <w:rPr>
          <w:rFonts w:hint="default" w:ascii="Times New Roman" w:hAnsi="Times New Roman" w:eastAsia="方正仿宋_GBK" w:cs="Times New Roman"/>
          <w:color w:val="auto"/>
          <w:sz w:val="28"/>
          <w:szCs w:val="28"/>
          <w:highlight w:val="none"/>
        </w:rPr>
        <w:t>。</w:t>
      </w:r>
    </w:p>
    <w:p w14:paraId="26D552CA">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第</w:t>
      </w:r>
      <w:r>
        <w:rPr>
          <w:rFonts w:hint="default" w:ascii="Times New Roman" w:hAnsi="Times New Roman" w:eastAsia="方正仿宋_GBK" w:cs="Times New Roman"/>
          <w:color w:val="auto"/>
          <w:sz w:val="28"/>
          <w:szCs w:val="28"/>
          <w:highlight w:val="none"/>
          <w:lang w:val="en-US" w:eastAsia="zh-CN"/>
        </w:rPr>
        <w:t>八</w:t>
      </w:r>
      <w:r>
        <w:rPr>
          <w:rFonts w:hint="default" w:ascii="Times New Roman" w:hAnsi="Times New Roman" w:eastAsia="方正仿宋_GBK" w:cs="Times New Roman"/>
          <w:color w:val="auto"/>
          <w:sz w:val="28"/>
          <w:szCs w:val="28"/>
          <w:highlight w:val="none"/>
        </w:rPr>
        <w:t>条  乙方</w:t>
      </w:r>
      <w:r>
        <w:rPr>
          <w:rFonts w:hint="default" w:ascii="Times New Roman" w:hAnsi="Times New Roman" w:eastAsia="方正仿宋_GBK" w:cs="Times New Roman"/>
          <w:color w:val="auto"/>
          <w:sz w:val="28"/>
          <w:szCs w:val="28"/>
          <w:highlight w:val="none"/>
          <w:lang w:val="en-US" w:eastAsia="zh-CN"/>
        </w:rPr>
        <w:t>应严格</w:t>
      </w:r>
      <w:r>
        <w:rPr>
          <w:rFonts w:hint="default" w:ascii="Times New Roman" w:hAnsi="Times New Roman" w:eastAsia="方正仿宋_GBK" w:cs="Times New Roman"/>
          <w:color w:val="auto"/>
          <w:sz w:val="28"/>
          <w:szCs w:val="28"/>
          <w:highlight w:val="none"/>
        </w:rPr>
        <w:t>按</w:t>
      </w:r>
      <w:r>
        <w:rPr>
          <w:rFonts w:hint="default" w:ascii="Times New Roman" w:hAnsi="Times New Roman" w:eastAsia="方正仿宋_GBK" w:cs="Times New Roman"/>
          <w:color w:val="auto"/>
          <w:sz w:val="28"/>
          <w:szCs w:val="28"/>
          <w:highlight w:val="none"/>
          <w:lang w:val="en-US" w:eastAsia="zh-CN"/>
        </w:rPr>
        <w:t>照</w:t>
      </w:r>
      <w:r>
        <w:rPr>
          <w:rFonts w:hint="default" w:ascii="Times New Roman" w:hAnsi="Times New Roman" w:eastAsia="方正仿宋_GBK" w:cs="Times New Roman"/>
          <w:color w:val="auto"/>
          <w:sz w:val="28"/>
          <w:szCs w:val="28"/>
          <w:highlight w:val="none"/>
        </w:rPr>
        <w:t>本合同确定</w:t>
      </w:r>
      <w:r>
        <w:rPr>
          <w:rFonts w:hint="default" w:ascii="Times New Roman" w:hAnsi="Times New Roman" w:eastAsia="方正仿宋_GBK" w:cs="Times New Roman"/>
          <w:color w:val="auto"/>
          <w:sz w:val="28"/>
          <w:szCs w:val="28"/>
          <w:highlight w:val="none"/>
          <w:lang w:val="en-US" w:eastAsia="zh-CN"/>
        </w:rPr>
        <w:t>的</w:t>
      </w:r>
      <w:r>
        <w:rPr>
          <w:rFonts w:hint="default" w:ascii="Times New Roman" w:hAnsi="Times New Roman" w:eastAsia="方正仿宋_GBK" w:cs="Times New Roman"/>
          <w:color w:val="auto"/>
          <w:sz w:val="28"/>
          <w:szCs w:val="28"/>
          <w:highlight w:val="none"/>
        </w:rPr>
        <w:t>保险</w:t>
      </w:r>
      <w:r>
        <w:rPr>
          <w:rFonts w:hint="default" w:ascii="Times New Roman" w:hAnsi="Times New Roman" w:eastAsia="方正仿宋_GBK" w:cs="Times New Roman"/>
          <w:color w:val="auto"/>
          <w:sz w:val="28"/>
          <w:szCs w:val="28"/>
          <w:highlight w:val="none"/>
          <w:lang w:val="en-US" w:eastAsia="zh-CN"/>
        </w:rPr>
        <w:t>险种</w:t>
      </w:r>
      <w:r>
        <w:rPr>
          <w:rFonts w:hint="default" w:ascii="Times New Roman" w:hAnsi="Times New Roman" w:eastAsia="方正仿宋_GBK" w:cs="Times New Roman"/>
          <w:color w:val="auto"/>
          <w:sz w:val="28"/>
          <w:szCs w:val="28"/>
          <w:highlight w:val="none"/>
        </w:rPr>
        <w:t>、质量要求、价格、服务等</w:t>
      </w:r>
      <w:r>
        <w:rPr>
          <w:rFonts w:hint="default" w:ascii="Times New Roman" w:hAnsi="Times New Roman" w:eastAsia="方正仿宋_GBK" w:cs="Times New Roman"/>
          <w:color w:val="auto"/>
          <w:sz w:val="28"/>
          <w:szCs w:val="28"/>
          <w:highlight w:val="none"/>
          <w:lang w:val="en-US" w:eastAsia="zh-CN"/>
        </w:rPr>
        <w:t>事项履行，并保证产品</w:t>
      </w:r>
      <w:r>
        <w:rPr>
          <w:rFonts w:hint="default" w:ascii="Times New Roman" w:hAnsi="Times New Roman" w:eastAsia="方正仿宋_GBK" w:cs="Times New Roman"/>
          <w:color w:val="auto"/>
          <w:sz w:val="28"/>
          <w:szCs w:val="28"/>
          <w:highlight w:val="none"/>
        </w:rPr>
        <w:t>符合国家</w:t>
      </w:r>
      <w:r>
        <w:rPr>
          <w:rFonts w:hint="default" w:ascii="Times New Roman" w:hAnsi="Times New Roman" w:eastAsia="方正仿宋_GBK" w:cs="Times New Roman"/>
          <w:color w:val="auto"/>
          <w:sz w:val="28"/>
          <w:szCs w:val="28"/>
          <w:highlight w:val="none"/>
          <w:lang w:val="en-US" w:eastAsia="zh-CN"/>
        </w:rPr>
        <w:t>银</w:t>
      </w:r>
      <w:r>
        <w:rPr>
          <w:rFonts w:hint="default" w:ascii="Times New Roman" w:hAnsi="Times New Roman" w:eastAsia="方正仿宋_GBK" w:cs="Times New Roman"/>
          <w:color w:val="auto"/>
          <w:sz w:val="28"/>
          <w:szCs w:val="28"/>
          <w:highlight w:val="none"/>
        </w:rPr>
        <w:t>保监会</w:t>
      </w:r>
      <w:r>
        <w:rPr>
          <w:rFonts w:hint="default" w:ascii="Times New Roman" w:hAnsi="Times New Roman" w:eastAsia="方正仿宋_GBK" w:cs="Times New Roman"/>
          <w:color w:val="auto"/>
          <w:sz w:val="28"/>
          <w:szCs w:val="28"/>
          <w:highlight w:val="none"/>
          <w:lang w:val="en-US" w:eastAsia="zh-CN"/>
        </w:rPr>
        <w:t>要求。</w:t>
      </w:r>
    </w:p>
    <w:p w14:paraId="3E73F2C8">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第</w:t>
      </w:r>
      <w:r>
        <w:rPr>
          <w:rFonts w:hint="default" w:ascii="Times New Roman" w:hAnsi="Times New Roman" w:eastAsia="方正仿宋_GBK" w:cs="Times New Roman"/>
          <w:color w:val="auto"/>
          <w:sz w:val="28"/>
          <w:szCs w:val="28"/>
          <w:highlight w:val="none"/>
          <w:lang w:val="en-US" w:eastAsia="zh-CN"/>
        </w:rPr>
        <w:t>九</w:t>
      </w:r>
      <w:r>
        <w:rPr>
          <w:rFonts w:hint="default" w:ascii="Times New Roman" w:hAnsi="Times New Roman" w:eastAsia="方正仿宋_GBK" w:cs="Times New Roman"/>
          <w:color w:val="auto"/>
          <w:sz w:val="28"/>
          <w:szCs w:val="28"/>
          <w:highlight w:val="none"/>
        </w:rPr>
        <w:t xml:space="preserve">条  </w:t>
      </w:r>
      <w:r>
        <w:rPr>
          <w:rFonts w:hint="default" w:ascii="Times New Roman" w:hAnsi="Times New Roman" w:eastAsia="方正仿宋_GBK" w:cs="Times New Roman"/>
          <w:color w:val="auto"/>
          <w:sz w:val="28"/>
          <w:szCs w:val="28"/>
          <w:highlight w:val="none"/>
          <w:lang w:val="en-US" w:eastAsia="zh-CN"/>
        </w:rPr>
        <w:t>如</w:t>
      </w:r>
      <w:r>
        <w:rPr>
          <w:rFonts w:hint="default" w:ascii="Times New Roman" w:hAnsi="Times New Roman" w:eastAsia="方正仿宋_GBK" w:cs="Times New Roman"/>
          <w:color w:val="auto"/>
          <w:sz w:val="28"/>
          <w:szCs w:val="28"/>
          <w:highlight w:val="none"/>
        </w:rPr>
        <w:t>乙方有下列情形之一，甲方有权</w:t>
      </w:r>
      <w:r>
        <w:rPr>
          <w:rFonts w:hint="default" w:ascii="Times New Roman" w:hAnsi="Times New Roman" w:eastAsia="方正仿宋_GBK" w:cs="Times New Roman"/>
          <w:color w:val="auto"/>
          <w:sz w:val="28"/>
          <w:szCs w:val="28"/>
          <w:highlight w:val="none"/>
          <w:lang w:val="en-US" w:eastAsia="zh-CN"/>
        </w:rPr>
        <w:t>立即单方书面解除合同</w:t>
      </w:r>
      <w:r>
        <w:rPr>
          <w:rFonts w:hint="default" w:ascii="Times New Roman" w:hAnsi="Times New Roman" w:eastAsia="方正仿宋_GBK" w:cs="Times New Roman"/>
          <w:color w:val="auto"/>
          <w:sz w:val="28"/>
          <w:szCs w:val="28"/>
          <w:highlight w:val="none"/>
        </w:rPr>
        <w:t>，</w:t>
      </w:r>
      <w:r>
        <w:rPr>
          <w:rFonts w:hint="default" w:ascii="Times New Roman" w:hAnsi="Times New Roman" w:eastAsia="方正仿宋_GBK" w:cs="Times New Roman"/>
          <w:color w:val="auto"/>
          <w:sz w:val="28"/>
          <w:szCs w:val="28"/>
          <w:highlight w:val="none"/>
          <w:lang w:val="en-US" w:eastAsia="zh-CN"/>
        </w:rPr>
        <w:t>并要求乙方承担相应</w:t>
      </w:r>
      <w:r>
        <w:rPr>
          <w:rFonts w:hint="default" w:ascii="Times New Roman" w:hAnsi="Times New Roman" w:eastAsia="方正仿宋_GBK" w:cs="Times New Roman"/>
          <w:color w:val="auto"/>
          <w:sz w:val="28"/>
          <w:szCs w:val="28"/>
          <w:highlight w:val="none"/>
        </w:rPr>
        <w:t>损害赔偿责任，</w:t>
      </w:r>
      <w:r>
        <w:rPr>
          <w:rFonts w:hint="default" w:ascii="Times New Roman" w:hAnsi="Times New Roman" w:eastAsia="方正仿宋_GBK" w:cs="Times New Roman"/>
          <w:color w:val="auto"/>
          <w:sz w:val="28"/>
          <w:szCs w:val="28"/>
          <w:highlight w:val="none"/>
          <w:lang w:val="en-US" w:eastAsia="zh-CN"/>
        </w:rPr>
        <w:t>同时</w:t>
      </w:r>
      <w:r>
        <w:rPr>
          <w:rFonts w:hint="default" w:ascii="Times New Roman" w:hAnsi="Times New Roman" w:eastAsia="方正仿宋_GBK" w:cs="Times New Roman"/>
          <w:color w:val="auto"/>
          <w:sz w:val="28"/>
          <w:szCs w:val="28"/>
          <w:highlight w:val="none"/>
        </w:rPr>
        <w:t>上报乙方上级主管部门。</w:t>
      </w:r>
    </w:p>
    <w:p w14:paraId="1533B96B">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w:t>
      </w:r>
      <w:r>
        <w:rPr>
          <w:rFonts w:hint="default" w:ascii="Times New Roman" w:hAnsi="Times New Roman" w:eastAsia="方正仿宋_GBK" w:cs="Times New Roman"/>
          <w:color w:val="auto"/>
          <w:sz w:val="28"/>
          <w:szCs w:val="28"/>
          <w:highlight w:val="none"/>
          <w:lang w:val="en-US" w:eastAsia="zh-CN"/>
        </w:rPr>
        <w:t>一</w:t>
      </w:r>
      <w:r>
        <w:rPr>
          <w:rFonts w:hint="default" w:ascii="Times New Roman" w:hAnsi="Times New Roman" w:eastAsia="方正仿宋_GBK" w:cs="Times New Roman"/>
          <w:color w:val="auto"/>
          <w:sz w:val="28"/>
          <w:szCs w:val="28"/>
          <w:highlight w:val="none"/>
        </w:rPr>
        <w:t>）采用不正当竞争手段谋取中标的，向相关人提供回扣的，或其他因乙方原因影响本合同无法履行或终止的。</w:t>
      </w:r>
    </w:p>
    <w:p w14:paraId="26091D7A">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w:t>
      </w:r>
      <w:r>
        <w:rPr>
          <w:rFonts w:hint="default" w:ascii="Times New Roman" w:hAnsi="Times New Roman" w:eastAsia="方正仿宋_GBK" w:cs="Times New Roman"/>
          <w:color w:val="auto"/>
          <w:sz w:val="28"/>
          <w:szCs w:val="28"/>
          <w:highlight w:val="none"/>
          <w:lang w:val="en-US" w:eastAsia="zh-CN"/>
        </w:rPr>
        <w:t>二</w:t>
      </w:r>
      <w:r>
        <w:rPr>
          <w:rFonts w:hint="default" w:ascii="Times New Roman" w:hAnsi="Times New Roman" w:eastAsia="方正仿宋_GBK" w:cs="Times New Roman"/>
          <w:color w:val="auto"/>
          <w:sz w:val="28"/>
          <w:szCs w:val="28"/>
          <w:highlight w:val="none"/>
        </w:rPr>
        <w:t>）乙方向甲方提供的服务，质量明显不满足服务合同、采购文件、乙方投标文件和本合同规定标准的。</w:t>
      </w:r>
    </w:p>
    <w:p w14:paraId="1CC3F684">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w:t>
      </w:r>
      <w:r>
        <w:rPr>
          <w:rFonts w:hint="default" w:ascii="Times New Roman" w:hAnsi="Times New Roman" w:eastAsia="方正仿宋_GBK" w:cs="Times New Roman"/>
          <w:color w:val="auto"/>
          <w:sz w:val="28"/>
          <w:szCs w:val="28"/>
          <w:highlight w:val="none"/>
          <w:lang w:val="en-US" w:eastAsia="zh-CN"/>
        </w:rPr>
        <w:t>三</w:t>
      </w:r>
      <w:r>
        <w:rPr>
          <w:rFonts w:hint="default" w:ascii="Times New Roman" w:hAnsi="Times New Roman" w:eastAsia="方正仿宋_GBK" w:cs="Times New Roman"/>
          <w:color w:val="auto"/>
          <w:sz w:val="28"/>
          <w:szCs w:val="28"/>
          <w:highlight w:val="none"/>
        </w:rPr>
        <w:t>）乙方向用户提供的服务，明显高于市场同类服务价格的。</w:t>
      </w:r>
    </w:p>
    <w:p w14:paraId="2F5BD538">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w:t>
      </w:r>
      <w:r>
        <w:rPr>
          <w:rFonts w:hint="default" w:ascii="Times New Roman" w:hAnsi="Times New Roman" w:eastAsia="方正仿宋_GBK" w:cs="Times New Roman"/>
          <w:color w:val="auto"/>
          <w:sz w:val="28"/>
          <w:szCs w:val="28"/>
          <w:highlight w:val="none"/>
          <w:lang w:val="en-US" w:eastAsia="zh-CN"/>
        </w:rPr>
        <w:t>四</w:t>
      </w:r>
      <w:r>
        <w:rPr>
          <w:rFonts w:hint="default" w:ascii="Times New Roman" w:hAnsi="Times New Roman" w:eastAsia="方正仿宋_GBK" w:cs="Times New Roman"/>
          <w:color w:val="auto"/>
          <w:sz w:val="28"/>
          <w:szCs w:val="28"/>
          <w:highlight w:val="none"/>
        </w:rPr>
        <w:t>）乙方其它违反合同规定的行为。</w:t>
      </w:r>
    </w:p>
    <w:p w14:paraId="112466DB">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第</w:t>
      </w:r>
      <w:r>
        <w:rPr>
          <w:rFonts w:hint="default" w:ascii="Times New Roman" w:hAnsi="Times New Roman" w:eastAsia="方正仿宋_GBK" w:cs="Times New Roman"/>
          <w:color w:val="auto"/>
          <w:sz w:val="28"/>
          <w:szCs w:val="28"/>
          <w:highlight w:val="none"/>
          <w:lang w:val="en-US" w:eastAsia="zh-CN"/>
        </w:rPr>
        <w:t>十</w:t>
      </w:r>
      <w:r>
        <w:rPr>
          <w:rFonts w:hint="default" w:ascii="Times New Roman" w:hAnsi="Times New Roman" w:eastAsia="方正仿宋_GBK" w:cs="Times New Roman"/>
          <w:color w:val="auto"/>
          <w:sz w:val="28"/>
          <w:szCs w:val="28"/>
          <w:highlight w:val="none"/>
        </w:rPr>
        <w:t>条  合同任一方由于不可抗力事件的影响而不能执行合同时，履行合同的期限应予以延长，延长的期限应相当于事故所影响的时间。不可抗力事件是指甲乙双方在缔结合同时所不能预见的，且它的发生及其后果是无法避免和无法克服的事故</w:t>
      </w:r>
      <w:r>
        <w:rPr>
          <w:rFonts w:hint="default" w:ascii="Times New Roman" w:hAnsi="Times New Roman" w:eastAsia="方正仿宋_GBK" w:cs="Times New Roman"/>
          <w:color w:val="auto"/>
          <w:sz w:val="28"/>
          <w:szCs w:val="28"/>
          <w:highlight w:val="none"/>
          <w:lang w:eastAsia="zh-CN"/>
        </w:rPr>
        <w:t>，</w:t>
      </w:r>
      <w:r>
        <w:rPr>
          <w:rFonts w:hint="default" w:ascii="Times New Roman" w:hAnsi="Times New Roman" w:eastAsia="方正仿宋_GBK" w:cs="Times New Roman"/>
          <w:color w:val="auto"/>
          <w:sz w:val="28"/>
          <w:szCs w:val="28"/>
          <w:highlight w:val="none"/>
          <w:lang w:val="en-US" w:eastAsia="zh-CN"/>
        </w:rPr>
        <w:t>如</w:t>
      </w:r>
      <w:r>
        <w:rPr>
          <w:rFonts w:hint="default" w:ascii="Times New Roman" w:hAnsi="Times New Roman" w:eastAsia="方正仿宋_GBK" w:cs="Times New Roman"/>
          <w:color w:val="auto"/>
          <w:sz w:val="28"/>
          <w:szCs w:val="28"/>
          <w:highlight w:val="none"/>
        </w:rPr>
        <w:t>战争、骚乱、瘟疫、严重火灾、洪水、台风、地震等。</w:t>
      </w:r>
    </w:p>
    <w:p w14:paraId="4AD4C26C">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第</w:t>
      </w:r>
      <w:r>
        <w:rPr>
          <w:rFonts w:hint="default" w:ascii="Times New Roman" w:hAnsi="Times New Roman" w:eastAsia="方正仿宋_GBK" w:cs="Times New Roman"/>
          <w:color w:val="auto"/>
          <w:sz w:val="28"/>
          <w:szCs w:val="28"/>
          <w:highlight w:val="none"/>
          <w:lang w:val="en-US" w:eastAsia="zh-CN"/>
        </w:rPr>
        <w:t>十一</w:t>
      </w:r>
      <w:r>
        <w:rPr>
          <w:rFonts w:hint="default" w:ascii="Times New Roman" w:hAnsi="Times New Roman" w:eastAsia="方正仿宋_GBK" w:cs="Times New Roman"/>
          <w:color w:val="auto"/>
          <w:sz w:val="28"/>
          <w:szCs w:val="28"/>
          <w:highlight w:val="none"/>
        </w:rPr>
        <w:t>条  保险流程</w:t>
      </w:r>
    </w:p>
    <w:p w14:paraId="6BD59743">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（一）理赔流程：</w:t>
      </w:r>
    </w:p>
    <w:p w14:paraId="571840FC">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（1）被保险人发生保险责任范围内的保险事故后，及时报案，由保险公司服务专员应两小时内到达事故现场，处理理赔服务。</w:t>
      </w:r>
    </w:p>
    <w:p w14:paraId="034C9BCE">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lang w:val="en-US"/>
        </w:rPr>
      </w:pPr>
      <w:r>
        <w:rPr>
          <w:rFonts w:hint="default" w:ascii="Times New Roman" w:hAnsi="Times New Roman" w:eastAsia="方正仿宋_GBK" w:cs="Times New Roman"/>
          <w:color w:val="auto"/>
          <w:sz w:val="28"/>
          <w:szCs w:val="28"/>
          <w:highlight w:val="none"/>
          <w:lang w:val="en-US" w:eastAsia="zh-CN"/>
        </w:rPr>
        <w:t>保险公司服务专员：</w:t>
      </w:r>
      <w:r>
        <w:rPr>
          <w:rFonts w:hint="eastAsia"/>
          <w:sz w:val="24"/>
          <w:szCs w:val="32"/>
          <w:highlight w:val="none"/>
          <w:u w:val="single"/>
          <w:lang w:val="en-US" w:eastAsia="zh-CN"/>
        </w:rPr>
        <w:t xml:space="preserve">    </w:t>
      </w:r>
      <w:r>
        <w:rPr>
          <w:rFonts w:hint="default" w:ascii="Times New Roman" w:hAnsi="Times New Roman" w:eastAsia="方正仿宋_GBK" w:cs="Times New Roman"/>
          <w:color w:val="auto"/>
          <w:sz w:val="28"/>
          <w:szCs w:val="28"/>
          <w:highlight w:val="none"/>
          <w:lang w:val="en-US" w:eastAsia="zh-CN"/>
        </w:rPr>
        <w:t>，联系电话：</w:t>
      </w:r>
      <w:r>
        <w:rPr>
          <w:rFonts w:hint="eastAsia" w:ascii="Times New Roman" w:hAnsi="Times New Roman" w:eastAsia="方正仿宋_GBK" w:cs="Times New Roman"/>
          <w:color w:val="auto"/>
          <w:sz w:val="28"/>
          <w:szCs w:val="28"/>
          <w:highlight w:val="none"/>
          <w:u w:val="single"/>
          <w:lang w:val="en-US" w:eastAsia="zh-CN"/>
        </w:rPr>
        <w:t xml:space="preserve">       </w:t>
      </w:r>
    </w:p>
    <w:p w14:paraId="729FCF2E">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（2）保险公司根据理赔保单理赔金额将理赔款</w:t>
      </w:r>
      <w:r>
        <w:rPr>
          <w:rFonts w:hint="default" w:ascii="Times New Roman" w:hAnsi="Times New Roman" w:eastAsia="方正仿宋_GBK" w:cs="Times New Roman"/>
          <w:color w:val="auto"/>
          <w:sz w:val="28"/>
          <w:szCs w:val="28"/>
          <w:highlight w:val="none"/>
          <w:lang w:val="en-US" w:eastAsia="zh-CN"/>
        </w:rPr>
        <w:t>于二十日内</w:t>
      </w:r>
      <w:r>
        <w:rPr>
          <w:rFonts w:hint="default" w:ascii="Times New Roman" w:hAnsi="Times New Roman" w:eastAsia="方正仿宋_GBK" w:cs="Times New Roman"/>
          <w:color w:val="auto"/>
          <w:sz w:val="28"/>
          <w:szCs w:val="28"/>
          <w:highlight w:val="none"/>
        </w:rPr>
        <w:t>划入甲方指定的账户。</w:t>
      </w:r>
    </w:p>
    <w:p w14:paraId="5C6726D1">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（二）售后服务</w:t>
      </w:r>
    </w:p>
    <w:p w14:paraId="6016B1DF">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（1）保险公司将为该项目成立专项服务小组，并指定专人负责该项目的日常服务工作。</w:t>
      </w:r>
    </w:p>
    <w:p w14:paraId="0DB867EA">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（2）设立24小时保险服务专线电话</w:t>
      </w:r>
      <w:r>
        <w:rPr>
          <w:rFonts w:hint="eastAsia" w:ascii="Times New Roman" w:hAnsi="Times New Roman" w:eastAsia="方正仿宋_GBK" w:cs="Times New Roman"/>
          <w:color w:val="auto"/>
          <w:sz w:val="28"/>
          <w:szCs w:val="28"/>
          <w:highlight w:val="none"/>
          <w:u w:val="single"/>
          <w:lang w:val="en-US" w:eastAsia="zh-CN"/>
        </w:rPr>
        <w:t xml:space="preserve">      </w:t>
      </w:r>
      <w:r>
        <w:rPr>
          <w:rFonts w:hint="default" w:ascii="Times New Roman" w:hAnsi="Times New Roman" w:eastAsia="方正仿宋_GBK" w:cs="Times New Roman"/>
          <w:color w:val="auto"/>
          <w:sz w:val="28"/>
          <w:szCs w:val="28"/>
          <w:highlight w:val="none"/>
        </w:rPr>
        <w:t>，可全年365天随时接受被保险人的出险报案，并立即通知保险公司本项目客户服务专员。</w:t>
      </w:r>
    </w:p>
    <w:p w14:paraId="2B0DE378">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（3）保险公司需在约定的时间内审核理赔案件，并支付理赔款至符合条件的指定账户。</w:t>
      </w:r>
    </w:p>
    <w:p w14:paraId="618E8D96">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第</w:t>
      </w:r>
      <w:r>
        <w:rPr>
          <w:rFonts w:hint="default" w:ascii="Times New Roman" w:hAnsi="Times New Roman" w:eastAsia="方正仿宋_GBK" w:cs="Times New Roman"/>
          <w:color w:val="auto"/>
          <w:sz w:val="28"/>
          <w:szCs w:val="28"/>
          <w:highlight w:val="none"/>
          <w:lang w:val="en-US" w:eastAsia="zh-CN"/>
        </w:rPr>
        <w:t>十二</w:t>
      </w:r>
      <w:r>
        <w:rPr>
          <w:rFonts w:hint="default" w:ascii="Times New Roman" w:hAnsi="Times New Roman" w:eastAsia="方正仿宋_GBK" w:cs="Times New Roman"/>
          <w:color w:val="auto"/>
          <w:sz w:val="28"/>
          <w:szCs w:val="28"/>
          <w:highlight w:val="none"/>
        </w:rPr>
        <w:t xml:space="preserve">条 </w:t>
      </w:r>
      <w:r>
        <w:rPr>
          <w:rFonts w:hint="default" w:ascii="Times New Roman" w:hAnsi="Times New Roman" w:eastAsia="方正仿宋_GBK" w:cs="Times New Roman"/>
          <w:color w:val="auto"/>
          <w:sz w:val="28"/>
          <w:szCs w:val="28"/>
          <w:highlight w:val="none"/>
          <w:lang w:val="en-US" w:eastAsia="zh-CN"/>
        </w:rPr>
        <w:t xml:space="preserve"> </w:t>
      </w:r>
      <w:r>
        <w:rPr>
          <w:rFonts w:hint="default" w:ascii="Times New Roman" w:hAnsi="Times New Roman" w:eastAsia="方正仿宋_GBK" w:cs="Times New Roman"/>
          <w:color w:val="auto"/>
          <w:sz w:val="28"/>
          <w:szCs w:val="28"/>
          <w:highlight w:val="none"/>
        </w:rPr>
        <w:t>保密条款</w:t>
      </w:r>
    </w:p>
    <w:p w14:paraId="6F38BD50">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（一）双方应当对本协议的内容、因履行本协议或在本协议期间获得的或收到的对方的商务、财务、技术、产品的信息、用户资料或其他标明保密的文件或信息的内容</w:t>
      </w:r>
      <w:r>
        <w:rPr>
          <w:rFonts w:hint="default" w:ascii="Times New Roman" w:hAnsi="Times New Roman" w:eastAsia="方正仿宋_GBK" w:cs="Times New Roman"/>
          <w:color w:val="auto"/>
          <w:sz w:val="28"/>
          <w:szCs w:val="28"/>
          <w:highlight w:val="none"/>
          <w:lang w:eastAsia="zh-CN"/>
        </w:rPr>
        <w:t>（</w:t>
      </w:r>
      <w:r>
        <w:rPr>
          <w:rFonts w:hint="default" w:ascii="Times New Roman" w:hAnsi="Times New Roman" w:eastAsia="方正仿宋_GBK" w:cs="Times New Roman"/>
          <w:color w:val="auto"/>
          <w:sz w:val="28"/>
          <w:szCs w:val="28"/>
          <w:highlight w:val="none"/>
        </w:rPr>
        <w:t>简称“保密资料”</w:t>
      </w:r>
      <w:r>
        <w:rPr>
          <w:rFonts w:hint="default" w:ascii="Times New Roman" w:hAnsi="Times New Roman" w:eastAsia="方正仿宋_GBK" w:cs="Times New Roman"/>
          <w:color w:val="auto"/>
          <w:sz w:val="28"/>
          <w:szCs w:val="28"/>
          <w:highlight w:val="none"/>
          <w:lang w:eastAsia="zh-CN"/>
        </w:rPr>
        <w:t>）</w:t>
      </w:r>
      <w:r>
        <w:rPr>
          <w:rFonts w:hint="default" w:ascii="Times New Roman" w:hAnsi="Times New Roman" w:eastAsia="方正仿宋_GBK" w:cs="Times New Roman"/>
          <w:color w:val="auto"/>
          <w:sz w:val="28"/>
          <w:szCs w:val="28"/>
          <w:highlight w:val="none"/>
        </w:rPr>
        <w:t xml:space="preserve">保守秘密，未经信息披露方书面事先同意，不得向本协议以外的任何第三方披露。资料接受方可仅为本协议目的向其确有知悉必要的雇员披露对方提供的保密资料，但同时须指示其雇员遵守本条规定的保密及不披露义务。双方应仅为本协议目的而复制和使用保密资料。  </w:t>
      </w:r>
    </w:p>
    <w:p w14:paraId="07503C43">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 xml:space="preserve">（二）除非得到另一方的书面许可，甲乙双方均不得将本合同中的内容及在本合同执行过程中获得的对方的商业信息向任何第三方泄露。  </w:t>
      </w:r>
    </w:p>
    <w:p w14:paraId="7CECE0C1">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（三）本保密义务应在本协议期满、解除或终止后仍然有效。</w:t>
      </w:r>
    </w:p>
    <w:p w14:paraId="311EA09B">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第十</w:t>
      </w:r>
      <w:r>
        <w:rPr>
          <w:rFonts w:hint="default" w:ascii="Times New Roman" w:hAnsi="Times New Roman" w:eastAsia="方正仿宋_GBK" w:cs="Times New Roman"/>
          <w:color w:val="auto"/>
          <w:sz w:val="28"/>
          <w:szCs w:val="28"/>
          <w:highlight w:val="none"/>
          <w:lang w:val="en-US" w:eastAsia="zh-CN"/>
        </w:rPr>
        <w:t>三</w:t>
      </w:r>
      <w:r>
        <w:rPr>
          <w:rFonts w:hint="default" w:ascii="Times New Roman" w:hAnsi="Times New Roman" w:eastAsia="方正仿宋_GBK" w:cs="Times New Roman"/>
          <w:color w:val="auto"/>
          <w:sz w:val="28"/>
          <w:szCs w:val="28"/>
          <w:highlight w:val="none"/>
        </w:rPr>
        <w:t>条  合同的解释</w:t>
      </w:r>
    </w:p>
    <w:p w14:paraId="30403F41">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（一）任何一方对本合同及其附件的解释均应遵循诚实信用原则，依照本合同签订时有效的中华人民共和国的法律、法规以及人们通常的理解进行。</w:t>
      </w:r>
    </w:p>
    <w:p w14:paraId="5C5EFE0E">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lang w:val="en-US" w:eastAsia="zh-CN"/>
        </w:rPr>
      </w:pPr>
      <w:r>
        <w:rPr>
          <w:rFonts w:hint="default" w:ascii="Times New Roman" w:hAnsi="Times New Roman" w:eastAsia="方正仿宋_GBK" w:cs="Times New Roman"/>
          <w:color w:val="auto"/>
          <w:sz w:val="28"/>
          <w:szCs w:val="28"/>
          <w:highlight w:val="none"/>
          <w:lang w:val="en-US" w:eastAsia="zh-CN"/>
        </w:rPr>
        <w:t>（二）对本合同的任何解释均应以书面做出。</w:t>
      </w:r>
    </w:p>
    <w:p w14:paraId="71813FEA">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lang w:val="en-US" w:eastAsia="zh-CN"/>
        </w:rPr>
      </w:pPr>
      <w:r>
        <w:rPr>
          <w:rFonts w:hint="default" w:ascii="Times New Roman" w:hAnsi="Times New Roman" w:eastAsia="方正仿宋_GBK" w:cs="Times New Roman"/>
          <w:color w:val="auto"/>
          <w:sz w:val="28"/>
          <w:szCs w:val="28"/>
          <w:highlight w:val="none"/>
        </w:rPr>
        <w:t>第十</w:t>
      </w:r>
      <w:r>
        <w:rPr>
          <w:rFonts w:hint="default" w:ascii="Times New Roman" w:hAnsi="Times New Roman" w:eastAsia="方正仿宋_GBK" w:cs="Times New Roman"/>
          <w:color w:val="auto"/>
          <w:sz w:val="28"/>
          <w:szCs w:val="28"/>
          <w:highlight w:val="none"/>
          <w:lang w:val="en-US" w:eastAsia="zh-CN"/>
        </w:rPr>
        <w:t>四</w:t>
      </w:r>
      <w:r>
        <w:rPr>
          <w:rFonts w:hint="default" w:ascii="Times New Roman" w:hAnsi="Times New Roman" w:eastAsia="方正仿宋_GBK" w:cs="Times New Roman"/>
          <w:color w:val="auto"/>
          <w:sz w:val="28"/>
          <w:szCs w:val="28"/>
          <w:highlight w:val="none"/>
        </w:rPr>
        <w:t xml:space="preserve">条 </w:t>
      </w:r>
      <w:r>
        <w:rPr>
          <w:rFonts w:hint="default" w:ascii="Times New Roman" w:hAnsi="Times New Roman" w:eastAsia="方正仿宋_GBK" w:cs="Times New Roman"/>
          <w:color w:val="auto"/>
          <w:sz w:val="28"/>
          <w:szCs w:val="28"/>
          <w:highlight w:val="none"/>
          <w:lang w:val="en-US" w:eastAsia="zh-CN"/>
        </w:rPr>
        <w:t xml:space="preserve"> 争议的解决</w:t>
      </w:r>
    </w:p>
    <w:p w14:paraId="1EEF0748">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lang w:val="en-US" w:eastAsia="zh-CN"/>
        </w:rPr>
      </w:pPr>
      <w:r>
        <w:rPr>
          <w:rFonts w:hint="default" w:ascii="Times New Roman" w:hAnsi="Times New Roman" w:eastAsia="方正仿宋_GBK" w:cs="Times New Roman"/>
          <w:color w:val="auto"/>
          <w:sz w:val="28"/>
          <w:szCs w:val="28"/>
          <w:highlight w:val="none"/>
          <w:lang w:val="en-US" w:eastAsia="zh-CN"/>
        </w:rPr>
        <w:t>在执行本合同中发生的与本合同有关的争端，甲乙双方应通过友好协商解决，经协商在60天内不能达成协议时，甲乙双方同意将争议提交甲方所在地的连云港市连云区人民法院诉讼解决。</w:t>
      </w:r>
    </w:p>
    <w:p w14:paraId="32BEFF29">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lang w:val="en-US" w:eastAsia="zh-CN"/>
        </w:rPr>
      </w:pPr>
      <w:r>
        <w:rPr>
          <w:rFonts w:hint="default" w:ascii="Times New Roman" w:hAnsi="Times New Roman" w:eastAsia="方正仿宋_GBK" w:cs="Times New Roman"/>
          <w:color w:val="auto"/>
          <w:sz w:val="28"/>
          <w:szCs w:val="28"/>
          <w:highlight w:val="none"/>
          <w:lang w:val="en-US" w:eastAsia="zh-CN"/>
        </w:rPr>
        <w:t>第十五条  本合同出现下列情况时自行终止：</w:t>
      </w:r>
    </w:p>
    <w:p w14:paraId="547A0DF7">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lang w:val="en-US" w:eastAsia="zh-CN"/>
        </w:rPr>
      </w:pPr>
      <w:r>
        <w:rPr>
          <w:rFonts w:hint="default" w:ascii="Times New Roman" w:hAnsi="Times New Roman" w:eastAsia="方正仿宋_GBK" w:cs="Times New Roman"/>
          <w:color w:val="auto"/>
          <w:sz w:val="28"/>
          <w:szCs w:val="28"/>
          <w:highlight w:val="none"/>
          <w:lang w:val="en-US" w:eastAsia="zh-CN"/>
        </w:rPr>
        <w:t>（一）本合同正常履行完毕；</w:t>
      </w:r>
    </w:p>
    <w:p w14:paraId="351317DF">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lang w:val="en-US" w:eastAsia="zh-CN"/>
        </w:rPr>
      </w:pPr>
      <w:r>
        <w:rPr>
          <w:rFonts w:hint="default" w:ascii="Times New Roman" w:hAnsi="Times New Roman" w:eastAsia="方正仿宋_GBK" w:cs="Times New Roman"/>
          <w:color w:val="auto"/>
          <w:sz w:val="28"/>
          <w:szCs w:val="28"/>
          <w:highlight w:val="none"/>
          <w:lang w:val="en-US" w:eastAsia="zh-CN"/>
        </w:rPr>
        <w:t>（二）甲乙双方协议终止本合同的履行；</w:t>
      </w:r>
    </w:p>
    <w:p w14:paraId="3785B7A3">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lang w:val="en-US" w:eastAsia="zh-CN"/>
        </w:rPr>
      </w:pPr>
      <w:r>
        <w:rPr>
          <w:rFonts w:hint="default" w:ascii="Times New Roman" w:hAnsi="Times New Roman" w:eastAsia="方正仿宋_GBK" w:cs="Times New Roman"/>
          <w:color w:val="auto"/>
          <w:sz w:val="28"/>
          <w:szCs w:val="28"/>
          <w:highlight w:val="none"/>
          <w:lang w:val="en-US" w:eastAsia="zh-CN"/>
        </w:rPr>
        <w:t>（三）不可抗力导致本合同无法履行或履行不必要时；</w:t>
      </w:r>
    </w:p>
    <w:p w14:paraId="1A550821">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lang w:val="en-US" w:eastAsia="zh-CN"/>
        </w:rPr>
        <w:t xml:space="preserve">第十六条  </w:t>
      </w:r>
      <w:r>
        <w:rPr>
          <w:rFonts w:hint="default" w:ascii="Times New Roman" w:hAnsi="Times New Roman" w:eastAsia="方正仿宋_GBK" w:cs="Times New Roman"/>
          <w:color w:val="auto"/>
          <w:sz w:val="28"/>
          <w:szCs w:val="28"/>
          <w:highlight w:val="none"/>
        </w:rPr>
        <w:t>合同生效</w:t>
      </w:r>
    </w:p>
    <w:p w14:paraId="779E4A07">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 xml:space="preserve">除非合同中另有说明，本合同一式 </w:t>
      </w:r>
      <w:r>
        <w:rPr>
          <w:rFonts w:hint="eastAsia" w:ascii="Times New Roman" w:hAnsi="Times New Roman" w:eastAsia="方正仿宋_GBK" w:cs="Times New Roman"/>
          <w:color w:val="auto"/>
          <w:sz w:val="28"/>
          <w:szCs w:val="28"/>
          <w:highlight w:val="none"/>
          <w:lang w:val="en-US" w:eastAsia="zh-CN"/>
        </w:rPr>
        <w:t>捌</w:t>
      </w:r>
      <w:r>
        <w:rPr>
          <w:rFonts w:hint="default" w:ascii="Times New Roman" w:hAnsi="Times New Roman" w:eastAsia="方正仿宋_GBK" w:cs="Times New Roman"/>
          <w:color w:val="auto"/>
          <w:sz w:val="28"/>
          <w:szCs w:val="28"/>
          <w:highlight w:val="none"/>
        </w:rPr>
        <w:t xml:space="preserve"> 份，甲方执 </w:t>
      </w:r>
      <w:r>
        <w:rPr>
          <w:rFonts w:hint="eastAsia" w:ascii="Times New Roman" w:hAnsi="Times New Roman" w:eastAsia="方正仿宋_GBK" w:cs="Times New Roman"/>
          <w:color w:val="auto"/>
          <w:sz w:val="28"/>
          <w:szCs w:val="28"/>
          <w:highlight w:val="none"/>
          <w:lang w:val="en-US" w:eastAsia="zh-CN"/>
        </w:rPr>
        <w:t>陆</w:t>
      </w:r>
      <w:r>
        <w:rPr>
          <w:rFonts w:hint="default" w:ascii="Times New Roman" w:hAnsi="Times New Roman" w:eastAsia="方正仿宋_GBK" w:cs="Times New Roman"/>
          <w:color w:val="auto"/>
          <w:sz w:val="28"/>
          <w:szCs w:val="28"/>
          <w:highlight w:val="none"/>
        </w:rPr>
        <w:t xml:space="preserve"> 份，乙方执 </w:t>
      </w:r>
      <w:r>
        <w:rPr>
          <w:rFonts w:hint="eastAsia" w:ascii="Times New Roman" w:hAnsi="Times New Roman" w:eastAsia="方正仿宋_GBK" w:cs="Times New Roman"/>
          <w:color w:val="auto"/>
          <w:sz w:val="28"/>
          <w:szCs w:val="28"/>
          <w:highlight w:val="none"/>
          <w:lang w:val="en-US" w:eastAsia="zh-CN"/>
        </w:rPr>
        <w:t>贰</w:t>
      </w:r>
      <w:r>
        <w:rPr>
          <w:rFonts w:hint="default" w:ascii="Times New Roman" w:hAnsi="Times New Roman" w:eastAsia="方正仿宋_GBK" w:cs="Times New Roman"/>
          <w:color w:val="auto"/>
          <w:sz w:val="28"/>
          <w:szCs w:val="28"/>
          <w:highlight w:val="none"/>
        </w:rPr>
        <w:t xml:space="preserve"> 份，均具有同等法律效力</w:t>
      </w:r>
      <w:r>
        <w:rPr>
          <w:rFonts w:hint="default" w:ascii="Times New Roman" w:hAnsi="Times New Roman" w:eastAsia="方正仿宋_GBK" w:cs="Times New Roman"/>
          <w:color w:val="auto"/>
          <w:sz w:val="28"/>
          <w:szCs w:val="28"/>
          <w:highlight w:val="none"/>
          <w:lang w:eastAsia="zh-CN"/>
        </w:rPr>
        <w:t>，</w:t>
      </w:r>
      <w:r>
        <w:rPr>
          <w:rFonts w:hint="default" w:ascii="Times New Roman" w:hAnsi="Times New Roman" w:eastAsia="方正仿宋_GBK" w:cs="Times New Roman"/>
          <w:color w:val="auto"/>
          <w:sz w:val="28"/>
          <w:szCs w:val="28"/>
          <w:highlight w:val="none"/>
        </w:rPr>
        <w:t>经甲乙双方法定代表人（或分/支公司负责人）或授权代表签字并盖章或合同专用章后生效</w:t>
      </w:r>
      <w:r>
        <w:rPr>
          <w:rFonts w:hint="default" w:ascii="Times New Roman" w:hAnsi="Times New Roman" w:eastAsia="方正仿宋_GBK" w:cs="Times New Roman"/>
          <w:color w:val="auto"/>
          <w:sz w:val="28"/>
          <w:szCs w:val="28"/>
          <w:highlight w:val="none"/>
          <w:lang w:eastAsia="zh-CN"/>
        </w:rPr>
        <w:t>。</w:t>
      </w:r>
      <w:r>
        <w:rPr>
          <w:rFonts w:hint="default" w:ascii="Times New Roman" w:hAnsi="Times New Roman" w:eastAsia="方正仿宋_GBK" w:cs="Times New Roman"/>
          <w:color w:val="auto"/>
          <w:sz w:val="28"/>
          <w:szCs w:val="28"/>
          <w:highlight w:val="none"/>
        </w:rPr>
        <w:t>本合同附件均为本合同不可分割的部分，具有同等的法律效力。</w:t>
      </w:r>
    </w:p>
    <w:p w14:paraId="28E8E224">
      <w:pPr>
        <w:keepNext w:val="0"/>
        <w:keepLines w:val="0"/>
        <w:pageBreakBefore w:val="0"/>
        <w:widowControl w:val="0"/>
        <w:kinsoku/>
        <w:wordWrap/>
        <w:overflowPunct/>
        <w:topLinePunct w:val="0"/>
        <w:autoSpaceDE/>
        <w:autoSpaceDN/>
        <w:bidi w:val="0"/>
        <w:snapToGrid/>
        <w:spacing w:line="360" w:lineRule="auto"/>
        <w:ind w:firstLine="560" w:firstLineChars="200"/>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附件1 报价清单</w:t>
      </w:r>
    </w:p>
    <w:p w14:paraId="26A846CB">
      <w:pPr>
        <w:pStyle w:val="2"/>
        <w:keepNext w:val="0"/>
        <w:keepLines w:val="0"/>
        <w:pageBreakBefore w:val="0"/>
        <w:widowControl w:val="0"/>
        <w:kinsoku/>
        <w:wordWrap/>
        <w:overflowPunct/>
        <w:topLinePunct w:val="0"/>
        <w:autoSpaceDE/>
        <w:autoSpaceDN/>
        <w:bidi w:val="0"/>
        <w:snapToGrid/>
        <w:spacing w:line="360" w:lineRule="auto"/>
        <w:ind w:left="0" w:leftChars="0" w:firstLine="560" w:firstLineChars="200"/>
        <w:jc w:val="both"/>
        <w:rPr>
          <w:rFonts w:hint="default" w:ascii="Times New Roman" w:hAnsi="Times New Roman" w:eastAsia="方正仿宋_GBK" w:cs="Times New Roman"/>
          <w:highlight w:val="none"/>
          <w:lang w:val="en-US" w:eastAsia="zh-CN"/>
        </w:rPr>
      </w:pPr>
      <w:r>
        <w:rPr>
          <w:rFonts w:hint="default" w:ascii="Times New Roman" w:hAnsi="Times New Roman" w:eastAsia="方正仿宋_GBK" w:cs="Times New Roman"/>
          <w:color w:val="auto"/>
          <w:sz w:val="28"/>
          <w:szCs w:val="28"/>
          <w:highlight w:val="none"/>
          <w:lang w:val="en-US" w:eastAsia="zh-CN"/>
        </w:rPr>
        <w:t>附件2 项目任务书</w:t>
      </w:r>
    </w:p>
    <w:p w14:paraId="7FBB3090">
      <w:pPr>
        <w:keepNext w:val="0"/>
        <w:keepLines w:val="0"/>
        <w:pageBreakBefore w:val="0"/>
        <w:widowControl w:val="0"/>
        <w:kinsoku/>
        <w:wordWrap/>
        <w:overflowPunct/>
        <w:topLinePunct w:val="0"/>
        <w:autoSpaceDE/>
        <w:autoSpaceDN/>
        <w:bidi w:val="0"/>
        <w:snapToGrid/>
        <w:spacing w:line="360" w:lineRule="auto"/>
        <w:ind w:firstLine="560" w:firstLineChars="200"/>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附件</w:t>
      </w:r>
      <w:r>
        <w:rPr>
          <w:rFonts w:hint="default" w:ascii="Times New Roman" w:hAnsi="Times New Roman" w:eastAsia="方正仿宋_GBK" w:cs="Times New Roman"/>
          <w:color w:val="auto"/>
          <w:sz w:val="28"/>
          <w:szCs w:val="28"/>
          <w:highlight w:val="none"/>
          <w:lang w:val="en-US" w:eastAsia="zh-CN"/>
        </w:rPr>
        <w:t>3</w:t>
      </w:r>
      <w:r>
        <w:rPr>
          <w:rFonts w:hint="default" w:ascii="Times New Roman" w:hAnsi="Times New Roman" w:eastAsia="方正仿宋_GBK" w:cs="Times New Roman"/>
          <w:color w:val="auto"/>
          <w:sz w:val="28"/>
          <w:szCs w:val="28"/>
          <w:highlight w:val="none"/>
        </w:rPr>
        <w:t xml:space="preserve"> 廉政协议</w:t>
      </w:r>
    </w:p>
    <w:p w14:paraId="085FD8E4">
      <w:pPr>
        <w:spacing w:line="360" w:lineRule="auto"/>
        <w:ind w:firstLine="560" w:firstLineChars="200"/>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（以下无正文）</w:t>
      </w:r>
    </w:p>
    <w:p w14:paraId="7F2F3537">
      <w:pPr>
        <w:ind w:firstLine="560"/>
        <w:rPr>
          <w:rFonts w:hint="default" w:ascii="Times New Roman" w:hAnsi="Times New Roman" w:eastAsia="方正仿宋_GBK" w:cs="Times New Roman"/>
          <w:color w:val="auto"/>
          <w:sz w:val="28"/>
          <w:szCs w:val="28"/>
          <w:highlight w:val="none"/>
        </w:rPr>
        <w:sectPr>
          <w:headerReference r:id="rId16" w:type="first"/>
          <w:footerReference r:id="rId18" w:type="first"/>
          <w:headerReference r:id="rId15" w:type="default"/>
          <w:footerReference r:id="rId17" w:type="default"/>
          <w:pgSz w:w="11905" w:h="16838"/>
          <w:pgMar w:top="1474" w:right="1474" w:bottom="1247" w:left="1587" w:header="851" w:footer="737" w:gutter="0"/>
          <w:cols w:space="720" w:num="1"/>
          <w:titlePg/>
          <w:docGrid w:linePitch="312" w:charSpace="0"/>
        </w:sectPr>
      </w:pPr>
    </w:p>
    <w:tbl>
      <w:tblPr>
        <w:tblStyle w:val="49"/>
        <w:tblpPr w:leftFromText="180" w:rightFromText="180" w:vertAnchor="text" w:horzAnchor="page" w:tblpX="1557" w:tblpY="627"/>
        <w:tblOverlap w:val="never"/>
        <w:tblW w:w="0" w:type="auto"/>
        <w:tblInd w:w="0" w:type="dxa"/>
        <w:tblLayout w:type="autofit"/>
        <w:tblCellMar>
          <w:top w:w="0" w:type="dxa"/>
          <w:left w:w="108" w:type="dxa"/>
          <w:bottom w:w="0" w:type="dxa"/>
          <w:right w:w="108" w:type="dxa"/>
        </w:tblCellMar>
      </w:tblPr>
      <w:tblGrid>
        <w:gridCol w:w="8522"/>
      </w:tblGrid>
      <w:tr w14:paraId="0E3025DD">
        <w:tblPrEx>
          <w:tblCellMar>
            <w:top w:w="0" w:type="dxa"/>
            <w:left w:w="108" w:type="dxa"/>
            <w:bottom w:w="0" w:type="dxa"/>
            <w:right w:w="108" w:type="dxa"/>
          </w:tblCellMar>
        </w:tblPrEx>
        <w:tc>
          <w:tcPr>
            <w:tcW w:w="8762" w:type="dxa"/>
            <w:noWrap w:val="0"/>
            <w:vAlign w:val="top"/>
          </w:tcPr>
          <w:p w14:paraId="7B40ADCA">
            <w:pPr>
              <w:widowControl/>
              <w:spacing w:before="100" w:beforeAutospacing="1" w:after="100" w:afterAutospacing="1" w:line="240" w:lineRule="auto"/>
              <w:ind w:firstLine="0" w:firstLineChars="0"/>
              <w:jc w:val="left"/>
              <w:rPr>
                <w:rFonts w:hint="default" w:ascii="Times New Roman" w:hAnsi="Times New Roman" w:eastAsia="宋体" w:cs="Times New Roman"/>
                <w:color w:val="auto"/>
                <w:kern w:val="0"/>
                <w:sz w:val="22"/>
                <w:szCs w:val="22"/>
                <w:highlight w:val="none"/>
              </w:rPr>
            </w:pPr>
          </w:p>
          <w:p w14:paraId="7EF88757">
            <w:pPr>
              <w:widowControl/>
              <w:spacing w:before="100" w:beforeAutospacing="1" w:afterAutospacing="1" w:line="520" w:lineRule="exact"/>
              <w:jc w:val="left"/>
              <w:rPr>
                <w:rFonts w:hint="default" w:ascii="Times New Roman" w:hAnsi="Times New Roman" w:eastAsia="方正仿宋_GBK" w:cs="Times New Roman"/>
                <w:color w:val="auto"/>
                <w:kern w:val="0"/>
                <w:sz w:val="28"/>
                <w:szCs w:val="28"/>
                <w:highlight w:val="none"/>
              </w:rPr>
            </w:pPr>
            <w:r>
              <w:rPr>
                <w:rFonts w:hint="default" w:ascii="Times New Roman" w:hAnsi="Times New Roman" w:eastAsia="方正仿宋_GBK" w:cs="Times New Roman"/>
                <w:color w:val="auto"/>
                <w:kern w:val="0"/>
                <w:sz w:val="28"/>
                <w:szCs w:val="28"/>
                <w:highlight w:val="none"/>
              </w:rPr>
              <w:t>甲方：                        乙方：</w:t>
            </w:r>
          </w:p>
          <w:p w14:paraId="1ECE3D01">
            <w:pPr>
              <w:widowControl/>
              <w:spacing w:before="100" w:beforeAutospacing="1" w:afterAutospacing="1" w:line="520" w:lineRule="exact"/>
              <w:ind w:firstLine="560" w:firstLineChars="200"/>
              <w:jc w:val="left"/>
              <w:rPr>
                <w:rFonts w:hint="default" w:ascii="Times New Roman" w:hAnsi="Times New Roman" w:eastAsia="方正仿宋_GBK" w:cs="Times New Roman"/>
                <w:color w:val="auto"/>
                <w:kern w:val="0"/>
                <w:sz w:val="28"/>
                <w:szCs w:val="28"/>
                <w:highlight w:val="none"/>
              </w:rPr>
            </w:pPr>
            <w:r>
              <w:rPr>
                <w:rFonts w:hint="default" w:ascii="Times New Roman" w:hAnsi="Times New Roman" w:eastAsia="方正仿宋_GBK" w:cs="Times New Roman"/>
                <w:color w:val="auto"/>
                <w:kern w:val="0"/>
                <w:sz w:val="28"/>
                <w:szCs w:val="28"/>
                <w:highlight w:val="none"/>
              </w:rPr>
              <w:t xml:space="preserve">                                                           </w:t>
            </w:r>
          </w:p>
          <w:p w14:paraId="7B4F0875">
            <w:pPr>
              <w:keepNext w:val="0"/>
              <w:keepLines w:val="0"/>
              <w:pageBreakBefore w:val="0"/>
              <w:widowControl/>
              <w:kinsoku/>
              <w:wordWrap/>
              <w:overflowPunct/>
              <w:topLinePunct w:val="0"/>
              <w:autoSpaceDE/>
              <w:autoSpaceDN/>
              <w:bidi w:val="0"/>
              <w:adjustRightInd/>
              <w:snapToGrid/>
              <w:spacing w:before="100" w:beforeAutospacing="1" w:afterAutospacing="1" w:line="280" w:lineRule="exact"/>
              <w:jc w:val="left"/>
              <w:textAlignment w:val="auto"/>
              <w:rPr>
                <w:rFonts w:hint="default" w:ascii="Times New Roman" w:hAnsi="Times New Roman" w:eastAsia="方正仿宋_GBK" w:cs="Times New Roman"/>
                <w:color w:val="auto"/>
                <w:kern w:val="0"/>
                <w:sz w:val="28"/>
                <w:szCs w:val="28"/>
                <w:highlight w:val="none"/>
              </w:rPr>
            </w:pPr>
            <w:r>
              <w:rPr>
                <w:rFonts w:hint="default" w:ascii="Times New Roman" w:hAnsi="Times New Roman" w:eastAsia="方正仿宋_GBK" w:cs="Times New Roman"/>
                <w:color w:val="auto"/>
                <w:kern w:val="0"/>
                <w:sz w:val="28"/>
                <w:szCs w:val="28"/>
                <w:highlight w:val="none"/>
              </w:rPr>
              <w:t>法定代表人（或分/支公司</w:t>
            </w:r>
            <w:r>
              <w:rPr>
                <w:rFonts w:hint="default" w:ascii="Times New Roman" w:hAnsi="Times New Roman" w:eastAsia="方正仿宋_GBK" w:cs="Times New Roman"/>
                <w:color w:val="auto"/>
                <w:kern w:val="0"/>
                <w:sz w:val="28"/>
                <w:szCs w:val="28"/>
                <w:highlight w:val="none"/>
                <w:lang w:val="en-US" w:eastAsia="zh-CN"/>
              </w:rPr>
              <w:t xml:space="preserve">      </w:t>
            </w:r>
            <w:r>
              <w:rPr>
                <w:rFonts w:hint="eastAsia" w:ascii="Times New Roman" w:hAnsi="Times New Roman" w:eastAsia="方正仿宋_GBK" w:cs="Times New Roman"/>
                <w:color w:val="auto"/>
                <w:kern w:val="0"/>
                <w:sz w:val="28"/>
                <w:szCs w:val="28"/>
                <w:highlight w:val="none"/>
                <w:lang w:val="en-US" w:eastAsia="zh-CN"/>
              </w:rPr>
              <w:t xml:space="preserve">  </w:t>
            </w:r>
            <w:r>
              <w:rPr>
                <w:rFonts w:hint="default" w:ascii="Times New Roman" w:hAnsi="Times New Roman" w:eastAsia="方正仿宋_GBK" w:cs="Times New Roman"/>
                <w:color w:val="auto"/>
                <w:kern w:val="0"/>
                <w:sz w:val="28"/>
                <w:szCs w:val="28"/>
                <w:highlight w:val="none"/>
              </w:rPr>
              <w:t>法定代表人</w:t>
            </w:r>
            <w:r>
              <w:rPr>
                <w:rFonts w:hint="eastAsia" w:ascii="Times New Roman" w:hAnsi="Times New Roman" w:eastAsia="方正仿宋_GBK" w:cs="Times New Roman"/>
                <w:color w:val="auto"/>
                <w:kern w:val="0"/>
                <w:sz w:val="28"/>
                <w:szCs w:val="28"/>
                <w:highlight w:val="none"/>
                <w:lang w:eastAsia="zh-CN"/>
              </w:rPr>
              <w:t>（</w:t>
            </w:r>
            <w:r>
              <w:rPr>
                <w:rFonts w:hint="default" w:ascii="Times New Roman" w:hAnsi="Times New Roman" w:eastAsia="方正仿宋_GBK" w:cs="Times New Roman"/>
                <w:color w:val="auto"/>
                <w:kern w:val="0"/>
                <w:sz w:val="28"/>
                <w:szCs w:val="28"/>
                <w:highlight w:val="none"/>
              </w:rPr>
              <w:t>或分/支公司</w:t>
            </w:r>
          </w:p>
          <w:p w14:paraId="3944A8BA">
            <w:pPr>
              <w:keepNext w:val="0"/>
              <w:keepLines w:val="0"/>
              <w:pageBreakBefore w:val="0"/>
              <w:widowControl/>
              <w:kinsoku/>
              <w:wordWrap/>
              <w:overflowPunct/>
              <w:topLinePunct w:val="0"/>
              <w:autoSpaceDE/>
              <w:autoSpaceDN/>
              <w:bidi w:val="0"/>
              <w:adjustRightInd/>
              <w:snapToGrid/>
              <w:spacing w:before="100" w:beforeAutospacing="1" w:afterAutospacing="1" w:line="280" w:lineRule="exact"/>
              <w:jc w:val="left"/>
              <w:textAlignment w:val="auto"/>
              <w:rPr>
                <w:rFonts w:hint="default" w:ascii="Times New Roman" w:hAnsi="Times New Roman" w:eastAsia="方正仿宋_GBK" w:cs="Times New Roman"/>
                <w:color w:val="auto"/>
                <w:kern w:val="0"/>
                <w:sz w:val="28"/>
                <w:szCs w:val="28"/>
                <w:highlight w:val="none"/>
                <w:lang w:val="en-US" w:eastAsia="zh-CN"/>
              </w:rPr>
            </w:pPr>
            <w:r>
              <w:rPr>
                <w:rFonts w:hint="default" w:ascii="Times New Roman" w:hAnsi="Times New Roman" w:eastAsia="方正仿宋_GBK" w:cs="Times New Roman"/>
                <w:color w:val="auto"/>
                <w:kern w:val="0"/>
                <w:sz w:val="28"/>
                <w:szCs w:val="28"/>
                <w:highlight w:val="none"/>
              </w:rPr>
              <w:t>负责人）或委托代理人：</w:t>
            </w:r>
            <w:r>
              <w:rPr>
                <w:rFonts w:hint="eastAsia" w:ascii="Times New Roman" w:hAnsi="Times New Roman" w:eastAsia="方正仿宋_GBK" w:cs="Times New Roman"/>
                <w:color w:val="auto"/>
                <w:kern w:val="0"/>
                <w:sz w:val="28"/>
                <w:szCs w:val="28"/>
                <w:highlight w:val="none"/>
                <w:lang w:val="en-US" w:eastAsia="zh-CN"/>
              </w:rPr>
              <w:t xml:space="preserve">         </w:t>
            </w:r>
            <w:r>
              <w:rPr>
                <w:rFonts w:hint="default" w:ascii="Times New Roman" w:hAnsi="Times New Roman" w:eastAsia="方正仿宋_GBK" w:cs="Times New Roman"/>
                <w:color w:val="auto"/>
                <w:kern w:val="0"/>
                <w:sz w:val="28"/>
                <w:szCs w:val="28"/>
                <w:highlight w:val="none"/>
              </w:rPr>
              <w:t>负责人）或委托代理人：</w:t>
            </w:r>
          </w:p>
          <w:p w14:paraId="134FDA30">
            <w:pPr>
              <w:widowControl/>
              <w:spacing w:before="100" w:beforeAutospacing="1" w:afterAutospacing="1" w:line="520" w:lineRule="exact"/>
              <w:ind w:firstLine="560" w:firstLineChars="200"/>
              <w:jc w:val="left"/>
              <w:rPr>
                <w:rFonts w:hint="default" w:ascii="Times New Roman" w:hAnsi="Times New Roman" w:eastAsia="方正仿宋_GBK" w:cs="Times New Roman"/>
                <w:color w:val="auto"/>
                <w:kern w:val="0"/>
                <w:sz w:val="28"/>
                <w:szCs w:val="28"/>
                <w:highlight w:val="none"/>
              </w:rPr>
            </w:pPr>
            <w:r>
              <w:rPr>
                <w:rFonts w:hint="default" w:ascii="Times New Roman" w:hAnsi="Times New Roman" w:eastAsia="方正仿宋_GBK" w:cs="Times New Roman"/>
                <w:color w:val="auto"/>
                <w:kern w:val="0"/>
                <w:sz w:val="28"/>
                <w:szCs w:val="28"/>
                <w:highlight w:val="none"/>
              </w:rPr>
              <w:t xml:space="preserve">                                                    </w:t>
            </w:r>
          </w:p>
          <w:p w14:paraId="0348CA71">
            <w:pPr>
              <w:widowControl/>
              <w:spacing w:before="100" w:beforeAutospacing="1" w:afterAutospacing="1" w:line="520" w:lineRule="exact"/>
              <w:jc w:val="left"/>
              <w:rPr>
                <w:rFonts w:hint="default" w:ascii="Times New Roman" w:hAnsi="Times New Roman" w:eastAsia="方正仿宋_GBK" w:cs="Times New Roman"/>
                <w:color w:val="auto"/>
                <w:kern w:val="0"/>
                <w:sz w:val="28"/>
                <w:szCs w:val="28"/>
                <w:highlight w:val="none"/>
              </w:rPr>
            </w:pPr>
            <w:r>
              <w:rPr>
                <w:rFonts w:hint="default" w:ascii="Times New Roman" w:hAnsi="Times New Roman" w:eastAsia="方正仿宋_GBK" w:cs="Times New Roman"/>
                <w:color w:val="auto"/>
                <w:kern w:val="0"/>
                <w:sz w:val="28"/>
                <w:szCs w:val="28"/>
                <w:highlight w:val="none"/>
              </w:rPr>
              <w:t>项目负责人：</w:t>
            </w:r>
            <w:r>
              <w:rPr>
                <w:rFonts w:hint="eastAsia" w:ascii="Times New Roman" w:hAnsi="Times New Roman" w:eastAsia="方正仿宋_GBK" w:cs="Times New Roman"/>
                <w:color w:val="auto"/>
                <w:kern w:val="0"/>
                <w:sz w:val="28"/>
                <w:szCs w:val="28"/>
                <w:highlight w:val="none"/>
                <w:lang w:val="en-US" w:eastAsia="zh-CN"/>
              </w:rPr>
              <w:t xml:space="preserve"> </w:t>
            </w:r>
            <w:r>
              <w:rPr>
                <w:rFonts w:hint="default" w:ascii="Times New Roman" w:hAnsi="Times New Roman" w:eastAsia="方正仿宋_GBK" w:cs="Times New Roman"/>
                <w:color w:val="auto"/>
                <w:kern w:val="0"/>
                <w:sz w:val="28"/>
                <w:szCs w:val="28"/>
                <w:highlight w:val="none"/>
              </w:rPr>
              <w:t xml:space="preserve">                     </w:t>
            </w:r>
          </w:p>
          <w:p w14:paraId="6FD9DCC2">
            <w:pPr>
              <w:widowControl/>
              <w:spacing w:before="100" w:beforeAutospacing="1" w:afterAutospacing="1" w:line="520" w:lineRule="exact"/>
              <w:jc w:val="left"/>
              <w:rPr>
                <w:rFonts w:hint="eastAsia" w:ascii="Times New Roman" w:hAnsi="Times New Roman" w:eastAsia="方正仿宋_GBK" w:cs="Times New Roman"/>
                <w:color w:val="auto"/>
                <w:kern w:val="0"/>
                <w:sz w:val="28"/>
                <w:szCs w:val="28"/>
                <w:highlight w:val="none"/>
                <w:lang w:val="en-US" w:eastAsia="zh-CN"/>
              </w:rPr>
            </w:pPr>
            <w:r>
              <w:rPr>
                <w:rFonts w:hint="default" w:ascii="Times New Roman" w:hAnsi="Times New Roman" w:eastAsia="方正仿宋_GBK" w:cs="Times New Roman"/>
                <w:color w:val="auto"/>
                <w:kern w:val="0"/>
                <w:sz w:val="28"/>
                <w:szCs w:val="28"/>
                <w:highlight w:val="none"/>
              </w:rPr>
              <w:t>合同经办人：</w:t>
            </w:r>
            <w:r>
              <w:rPr>
                <w:rFonts w:hint="eastAsia" w:ascii="Times New Roman" w:hAnsi="Times New Roman" w:eastAsia="方正仿宋_GBK" w:cs="Times New Roman"/>
                <w:color w:val="auto"/>
                <w:kern w:val="0"/>
                <w:sz w:val="28"/>
                <w:szCs w:val="28"/>
                <w:highlight w:val="none"/>
                <w:lang w:val="en-US" w:eastAsia="zh-CN"/>
              </w:rPr>
              <w:t xml:space="preserve"> </w:t>
            </w:r>
          </w:p>
          <w:p w14:paraId="0103F8C7">
            <w:pPr>
              <w:widowControl/>
              <w:spacing w:before="100" w:beforeAutospacing="1" w:afterAutospacing="1" w:line="520" w:lineRule="exact"/>
              <w:jc w:val="left"/>
              <w:rPr>
                <w:rFonts w:hint="default" w:ascii="Times New Roman" w:hAnsi="Times New Roman" w:eastAsia="方正仿宋_GBK" w:cs="Times New Roman"/>
                <w:color w:val="auto"/>
                <w:kern w:val="0"/>
                <w:sz w:val="28"/>
                <w:szCs w:val="28"/>
                <w:highlight w:val="none"/>
              </w:rPr>
            </w:pPr>
            <w:r>
              <w:rPr>
                <w:rFonts w:hint="default" w:ascii="Times New Roman" w:hAnsi="Times New Roman" w:eastAsia="方正仿宋_GBK" w:cs="Times New Roman"/>
                <w:color w:val="auto"/>
                <w:kern w:val="0"/>
                <w:sz w:val="28"/>
                <w:szCs w:val="28"/>
                <w:highlight w:val="none"/>
              </w:rPr>
              <w:t>日期：</w:t>
            </w:r>
          </w:p>
        </w:tc>
      </w:tr>
      <w:tr w14:paraId="6D45D921">
        <w:tblPrEx>
          <w:tblCellMar>
            <w:top w:w="0" w:type="dxa"/>
            <w:left w:w="108" w:type="dxa"/>
            <w:bottom w:w="0" w:type="dxa"/>
            <w:right w:w="108" w:type="dxa"/>
          </w:tblCellMar>
        </w:tblPrEx>
        <w:trPr>
          <w:trHeight w:val="4619" w:hRule="atLeast"/>
        </w:trPr>
        <w:tc>
          <w:tcPr>
            <w:tcW w:w="8762" w:type="dxa"/>
            <w:noWrap w:val="0"/>
            <w:vAlign w:val="top"/>
          </w:tcPr>
          <w:tbl>
            <w:tblPr>
              <w:tblStyle w:val="49"/>
              <w:tblpPr w:leftFromText="180" w:rightFromText="180" w:vertAnchor="text" w:horzAnchor="page" w:tblpX="134" w:tblpY="131"/>
              <w:tblOverlap w:val="never"/>
              <w:tblW w:w="4998" w:type="pct"/>
              <w:tblInd w:w="0" w:type="dxa"/>
              <w:tblLayout w:type="autofit"/>
              <w:tblCellMar>
                <w:top w:w="0" w:type="dxa"/>
                <w:left w:w="108" w:type="dxa"/>
                <w:bottom w:w="0" w:type="dxa"/>
                <w:right w:w="108" w:type="dxa"/>
              </w:tblCellMar>
            </w:tblPr>
            <w:tblGrid>
              <w:gridCol w:w="4124"/>
              <w:gridCol w:w="4179"/>
            </w:tblGrid>
            <w:tr w14:paraId="50C6A686">
              <w:trPr>
                <w:trHeight w:val="565" w:hRule="atLeast"/>
              </w:trPr>
              <w:tc>
                <w:tcPr>
                  <w:tcW w:w="2483" w:type="pct"/>
                  <w:noWrap w:val="0"/>
                  <w:vAlign w:val="top"/>
                </w:tcPr>
                <w:p w14:paraId="68E2366C">
                  <w:pPr>
                    <w:keepNext w:val="0"/>
                    <w:keepLines w:val="0"/>
                    <w:widowControl/>
                    <w:suppressLineNumbers w:val="0"/>
                    <w:adjustRightInd w:val="0"/>
                    <w:snapToGrid w:val="0"/>
                    <w:spacing w:before="0" w:beforeAutospacing="0" w:after="0" w:afterAutospacing="0" w:line="520" w:lineRule="exact"/>
                    <w:ind w:left="0" w:leftChars="0" w:right="0" w:firstLine="0" w:firstLineChars="0"/>
                    <w:jc w:val="left"/>
                    <w:rPr>
                      <w:rFonts w:hint="eastAsia" w:ascii="Times New Roman" w:hAnsi="Times New Roman" w:eastAsia="方正仿宋_GBK" w:cs="Times New Roman"/>
                      <w:bCs/>
                      <w:kern w:val="0"/>
                      <w:sz w:val="28"/>
                      <w:szCs w:val="28"/>
                      <w:highlight w:val="none"/>
                      <w:u w:val="none"/>
                      <w:lang w:eastAsia="zh-CN"/>
                    </w:rPr>
                  </w:pPr>
                  <w:r>
                    <w:rPr>
                      <w:rFonts w:hint="default" w:ascii="Times New Roman" w:hAnsi="Times New Roman" w:eastAsia="方正仿宋_GBK" w:cs="Times New Roman"/>
                      <w:bCs/>
                      <w:kern w:val="0"/>
                      <w:sz w:val="28"/>
                      <w:szCs w:val="28"/>
                      <w:highlight w:val="none"/>
                      <w:u w:val="none"/>
                    </w:rPr>
                    <w:t>统一社会信用代码：</w:t>
                  </w:r>
                  <w:r>
                    <w:rPr>
                      <w:rFonts w:hint="eastAsia" w:ascii="Times New Roman" w:hAnsi="Times New Roman" w:eastAsia="方正仿宋_GBK" w:cs="Times New Roman"/>
                      <w:bCs/>
                      <w:kern w:val="0"/>
                      <w:sz w:val="28"/>
                      <w:szCs w:val="28"/>
                      <w:highlight w:val="none"/>
                      <w:u w:val="none"/>
                      <w:lang w:val="en-US" w:eastAsia="zh-CN"/>
                    </w:rPr>
                    <w:t xml:space="preserve"> </w:t>
                  </w:r>
                </w:p>
              </w:tc>
              <w:tc>
                <w:tcPr>
                  <w:tcW w:w="2516" w:type="pct"/>
                  <w:noWrap w:val="0"/>
                  <w:vAlign w:val="top"/>
                </w:tcPr>
                <w:p w14:paraId="586C81EF">
                  <w:pPr>
                    <w:keepNext w:val="0"/>
                    <w:keepLines w:val="0"/>
                    <w:widowControl/>
                    <w:suppressLineNumbers w:val="0"/>
                    <w:adjustRightInd w:val="0"/>
                    <w:snapToGrid w:val="0"/>
                    <w:spacing w:before="0" w:beforeAutospacing="0" w:after="0" w:afterAutospacing="0" w:line="520" w:lineRule="exact"/>
                    <w:ind w:left="0" w:leftChars="0" w:right="0" w:firstLine="0" w:firstLineChars="0"/>
                    <w:jc w:val="left"/>
                    <w:rPr>
                      <w:rFonts w:hint="default" w:ascii="Times New Roman" w:hAnsi="Times New Roman" w:eastAsia="方正仿宋_GBK" w:cs="Times New Roman"/>
                      <w:bCs/>
                      <w:kern w:val="0"/>
                      <w:sz w:val="28"/>
                      <w:szCs w:val="28"/>
                      <w:highlight w:val="none"/>
                      <w:u w:val="none"/>
                      <w:lang w:val="en-US" w:eastAsia="zh-CN"/>
                    </w:rPr>
                  </w:pPr>
                  <w:r>
                    <w:rPr>
                      <w:rFonts w:hint="default" w:ascii="Times New Roman" w:hAnsi="Times New Roman" w:eastAsia="方正仿宋_GBK" w:cs="Times New Roman"/>
                      <w:bCs/>
                      <w:kern w:val="0"/>
                      <w:sz w:val="28"/>
                      <w:szCs w:val="28"/>
                      <w:highlight w:val="none"/>
                      <w:u w:val="none"/>
                    </w:rPr>
                    <w:t xml:space="preserve">统一社会信用代码：  </w:t>
                  </w:r>
                </w:p>
              </w:tc>
            </w:tr>
            <w:tr w14:paraId="2623B64C">
              <w:tblPrEx>
                <w:tblCellMar>
                  <w:top w:w="0" w:type="dxa"/>
                  <w:left w:w="108" w:type="dxa"/>
                  <w:bottom w:w="0" w:type="dxa"/>
                  <w:right w:w="108" w:type="dxa"/>
                </w:tblCellMar>
              </w:tblPrEx>
              <w:trPr>
                <w:trHeight w:val="565" w:hRule="atLeast"/>
              </w:trPr>
              <w:tc>
                <w:tcPr>
                  <w:tcW w:w="2483" w:type="pct"/>
                  <w:noWrap w:val="0"/>
                  <w:vAlign w:val="top"/>
                </w:tcPr>
                <w:p w14:paraId="2889A340">
                  <w:pPr>
                    <w:keepNext w:val="0"/>
                    <w:keepLines w:val="0"/>
                    <w:widowControl/>
                    <w:suppressLineNumbers w:val="0"/>
                    <w:adjustRightInd w:val="0"/>
                    <w:snapToGrid w:val="0"/>
                    <w:spacing w:before="0" w:beforeAutospacing="0" w:after="0" w:afterAutospacing="0" w:line="520" w:lineRule="exact"/>
                    <w:ind w:left="0" w:leftChars="0" w:right="0" w:firstLine="0" w:firstLineChars="0"/>
                    <w:jc w:val="left"/>
                    <w:rPr>
                      <w:rFonts w:hint="default" w:ascii="Times New Roman" w:hAnsi="Times New Roman" w:eastAsia="方正仿宋_GBK" w:cs="Times New Roman"/>
                      <w:bCs/>
                      <w:kern w:val="0"/>
                      <w:sz w:val="28"/>
                      <w:szCs w:val="28"/>
                      <w:highlight w:val="none"/>
                      <w:u w:val="none"/>
                    </w:rPr>
                  </w:pPr>
                  <w:r>
                    <w:rPr>
                      <w:rFonts w:hint="default" w:ascii="Times New Roman" w:hAnsi="Times New Roman" w:eastAsia="方正仿宋_GBK" w:cs="Times New Roman"/>
                      <w:bCs/>
                      <w:kern w:val="0"/>
                      <w:sz w:val="28"/>
                      <w:szCs w:val="28"/>
                      <w:highlight w:val="none"/>
                      <w:u w:val="none"/>
                    </w:rPr>
                    <w:t xml:space="preserve">地  址： </w:t>
                  </w:r>
                </w:p>
              </w:tc>
              <w:tc>
                <w:tcPr>
                  <w:tcW w:w="2516" w:type="pct"/>
                  <w:noWrap w:val="0"/>
                  <w:vAlign w:val="top"/>
                </w:tcPr>
                <w:p w14:paraId="5F9EA876">
                  <w:pPr>
                    <w:keepNext w:val="0"/>
                    <w:keepLines w:val="0"/>
                    <w:widowControl/>
                    <w:suppressLineNumbers w:val="0"/>
                    <w:adjustRightInd w:val="0"/>
                    <w:snapToGrid w:val="0"/>
                    <w:spacing w:before="0" w:beforeAutospacing="0" w:after="0" w:afterAutospacing="0" w:line="520" w:lineRule="exact"/>
                    <w:ind w:left="0" w:leftChars="0" w:right="0" w:firstLine="0" w:firstLineChars="0"/>
                    <w:jc w:val="left"/>
                    <w:rPr>
                      <w:rFonts w:hint="default" w:ascii="Times New Roman" w:hAnsi="Times New Roman" w:eastAsia="方正仿宋_GBK" w:cs="Times New Roman"/>
                      <w:bCs/>
                      <w:kern w:val="0"/>
                      <w:sz w:val="28"/>
                      <w:szCs w:val="28"/>
                      <w:highlight w:val="none"/>
                      <w:u w:val="none"/>
                    </w:rPr>
                  </w:pPr>
                  <w:r>
                    <w:rPr>
                      <w:rFonts w:hint="default" w:ascii="Times New Roman" w:hAnsi="Times New Roman" w:eastAsia="方正仿宋_GBK" w:cs="Times New Roman"/>
                      <w:bCs/>
                      <w:kern w:val="0"/>
                      <w:sz w:val="28"/>
                      <w:szCs w:val="28"/>
                      <w:highlight w:val="none"/>
                      <w:u w:val="none"/>
                    </w:rPr>
                    <w:t>地  址：</w:t>
                  </w:r>
                </w:p>
              </w:tc>
            </w:tr>
            <w:tr w14:paraId="5AD5253A">
              <w:tblPrEx>
                <w:tblCellMar>
                  <w:top w:w="0" w:type="dxa"/>
                  <w:left w:w="108" w:type="dxa"/>
                  <w:bottom w:w="0" w:type="dxa"/>
                  <w:right w:w="108" w:type="dxa"/>
                </w:tblCellMar>
              </w:tblPrEx>
              <w:trPr>
                <w:trHeight w:val="610" w:hRule="atLeast"/>
              </w:trPr>
              <w:tc>
                <w:tcPr>
                  <w:tcW w:w="2483" w:type="pct"/>
                  <w:noWrap w:val="0"/>
                  <w:vAlign w:val="top"/>
                </w:tcPr>
                <w:p w14:paraId="2F9F7EAE">
                  <w:pPr>
                    <w:keepNext w:val="0"/>
                    <w:keepLines w:val="0"/>
                    <w:widowControl/>
                    <w:suppressLineNumbers w:val="0"/>
                    <w:adjustRightInd w:val="0"/>
                    <w:snapToGrid w:val="0"/>
                    <w:spacing w:before="0" w:beforeAutospacing="0" w:after="0" w:afterAutospacing="0" w:line="520" w:lineRule="exact"/>
                    <w:ind w:left="0" w:leftChars="0" w:right="0" w:firstLine="0" w:firstLineChars="0"/>
                    <w:jc w:val="left"/>
                    <w:rPr>
                      <w:rFonts w:hint="default" w:ascii="Times New Roman" w:hAnsi="Times New Roman" w:eastAsia="方正仿宋_GBK" w:cs="Times New Roman"/>
                      <w:bCs/>
                      <w:kern w:val="0"/>
                      <w:sz w:val="28"/>
                      <w:szCs w:val="28"/>
                      <w:highlight w:val="none"/>
                      <w:u w:val="none"/>
                    </w:rPr>
                  </w:pPr>
                  <w:r>
                    <w:rPr>
                      <w:rFonts w:hint="default" w:ascii="Times New Roman" w:hAnsi="Times New Roman" w:eastAsia="方正仿宋_GBK" w:cs="Times New Roman"/>
                      <w:bCs/>
                      <w:kern w:val="0"/>
                      <w:sz w:val="28"/>
                      <w:szCs w:val="28"/>
                      <w:highlight w:val="none"/>
                      <w:u w:val="none"/>
                    </w:rPr>
                    <w:t>法定代表人：</w:t>
                  </w:r>
                </w:p>
              </w:tc>
              <w:tc>
                <w:tcPr>
                  <w:tcW w:w="2516" w:type="pct"/>
                  <w:noWrap w:val="0"/>
                  <w:vAlign w:val="top"/>
                </w:tcPr>
                <w:p w14:paraId="33068B5A">
                  <w:pPr>
                    <w:keepNext w:val="0"/>
                    <w:keepLines w:val="0"/>
                    <w:widowControl/>
                    <w:suppressLineNumbers w:val="0"/>
                    <w:adjustRightInd w:val="0"/>
                    <w:snapToGrid w:val="0"/>
                    <w:spacing w:before="0" w:beforeAutospacing="0" w:after="0" w:afterAutospacing="0" w:line="520" w:lineRule="exact"/>
                    <w:ind w:left="0" w:leftChars="0" w:right="0" w:firstLine="0" w:firstLineChars="0"/>
                    <w:jc w:val="left"/>
                    <w:rPr>
                      <w:rFonts w:hint="eastAsia" w:ascii="Times New Roman" w:hAnsi="Times New Roman" w:eastAsia="方正仿宋_GBK" w:cs="Times New Roman"/>
                      <w:bCs/>
                      <w:kern w:val="0"/>
                      <w:sz w:val="28"/>
                      <w:szCs w:val="28"/>
                      <w:highlight w:val="none"/>
                      <w:u w:val="none"/>
                      <w:lang w:val="en-US" w:eastAsia="zh-CN"/>
                    </w:rPr>
                  </w:pPr>
                  <w:r>
                    <w:rPr>
                      <w:rFonts w:hint="default" w:ascii="Times New Roman" w:hAnsi="Times New Roman" w:eastAsia="方正仿宋_GBK" w:cs="Times New Roman"/>
                      <w:bCs/>
                      <w:kern w:val="0"/>
                      <w:sz w:val="28"/>
                      <w:szCs w:val="28"/>
                      <w:highlight w:val="none"/>
                      <w:u w:val="none"/>
                    </w:rPr>
                    <w:t>法定代表人：</w:t>
                  </w:r>
                </w:p>
              </w:tc>
            </w:tr>
            <w:tr w14:paraId="50FAF7E1">
              <w:tblPrEx>
                <w:tblCellMar>
                  <w:top w:w="0" w:type="dxa"/>
                  <w:left w:w="108" w:type="dxa"/>
                  <w:bottom w:w="0" w:type="dxa"/>
                  <w:right w:w="108" w:type="dxa"/>
                </w:tblCellMar>
              </w:tblPrEx>
              <w:trPr>
                <w:trHeight w:val="565" w:hRule="atLeast"/>
              </w:trPr>
              <w:tc>
                <w:tcPr>
                  <w:tcW w:w="2483" w:type="pct"/>
                  <w:noWrap w:val="0"/>
                  <w:vAlign w:val="top"/>
                </w:tcPr>
                <w:p w14:paraId="439342E5">
                  <w:pPr>
                    <w:keepNext w:val="0"/>
                    <w:keepLines w:val="0"/>
                    <w:widowControl/>
                    <w:suppressLineNumbers w:val="0"/>
                    <w:adjustRightInd w:val="0"/>
                    <w:snapToGrid w:val="0"/>
                    <w:spacing w:before="0" w:beforeAutospacing="0" w:after="0" w:afterAutospacing="0" w:line="520" w:lineRule="exact"/>
                    <w:ind w:left="0" w:leftChars="0" w:right="0" w:firstLine="0" w:firstLineChars="0"/>
                    <w:jc w:val="left"/>
                    <w:rPr>
                      <w:rFonts w:hint="default" w:ascii="Times New Roman" w:hAnsi="Times New Roman" w:eastAsia="方正仿宋_GBK" w:cs="Times New Roman"/>
                      <w:bCs/>
                      <w:kern w:val="0"/>
                      <w:sz w:val="28"/>
                      <w:szCs w:val="28"/>
                      <w:highlight w:val="none"/>
                      <w:u w:val="none"/>
                    </w:rPr>
                  </w:pPr>
                  <w:r>
                    <w:rPr>
                      <w:rFonts w:hint="default" w:ascii="Times New Roman" w:hAnsi="Times New Roman" w:eastAsia="方正仿宋_GBK" w:cs="Times New Roman"/>
                      <w:bCs/>
                      <w:kern w:val="0"/>
                      <w:sz w:val="28"/>
                      <w:szCs w:val="28"/>
                      <w:highlight w:val="none"/>
                      <w:u w:val="none"/>
                    </w:rPr>
                    <w:t>电  话：</w:t>
                  </w:r>
                </w:p>
              </w:tc>
              <w:tc>
                <w:tcPr>
                  <w:tcW w:w="2516" w:type="pct"/>
                  <w:noWrap w:val="0"/>
                  <w:vAlign w:val="top"/>
                </w:tcPr>
                <w:p w14:paraId="3EC1DBFF">
                  <w:pPr>
                    <w:keepNext w:val="0"/>
                    <w:keepLines w:val="0"/>
                    <w:widowControl/>
                    <w:suppressLineNumbers w:val="0"/>
                    <w:adjustRightInd w:val="0"/>
                    <w:snapToGrid w:val="0"/>
                    <w:spacing w:before="0" w:beforeAutospacing="0" w:after="0" w:afterAutospacing="0" w:line="520" w:lineRule="exact"/>
                    <w:ind w:left="0" w:leftChars="0" w:right="0" w:firstLine="0" w:firstLineChars="0"/>
                    <w:jc w:val="left"/>
                    <w:rPr>
                      <w:rFonts w:hint="default" w:ascii="Times New Roman" w:hAnsi="Times New Roman" w:eastAsia="方正仿宋_GBK" w:cs="Times New Roman"/>
                      <w:bCs/>
                      <w:kern w:val="0"/>
                      <w:sz w:val="28"/>
                      <w:szCs w:val="28"/>
                      <w:highlight w:val="none"/>
                      <w:u w:val="none"/>
                    </w:rPr>
                  </w:pPr>
                  <w:r>
                    <w:rPr>
                      <w:rFonts w:hint="default" w:ascii="Times New Roman" w:hAnsi="Times New Roman" w:eastAsia="方正仿宋_GBK" w:cs="Times New Roman"/>
                      <w:bCs/>
                      <w:kern w:val="0"/>
                      <w:sz w:val="28"/>
                      <w:szCs w:val="28"/>
                      <w:highlight w:val="none"/>
                      <w:u w:val="none"/>
                    </w:rPr>
                    <w:t>电  话：</w:t>
                  </w:r>
                </w:p>
              </w:tc>
            </w:tr>
            <w:tr w14:paraId="7797840A">
              <w:tblPrEx>
                <w:tblCellMar>
                  <w:top w:w="0" w:type="dxa"/>
                  <w:left w:w="108" w:type="dxa"/>
                  <w:bottom w:w="0" w:type="dxa"/>
                  <w:right w:w="108" w:type="dxa"/>
                </w:tblCellMar>
              </w:tblPrEx>
              <w:trPr>
                <w:trHeight w:val="565" w:hRule="atLeast"/>
              </w:trPr>
              <w:tc>
                <w:tcPr>
                  <w:tcW w:w="2483" w:type="pct"/>
                  <w:noWrap w:val="0"/>
                  <w:vAlign w:val="top"/>
                </w:tcPr>
                <w:p w14:paraId="058F2908">
                  <w:pPr>
                    <w:keepNext w:val="0"/>
                    <w:keepLines w:val="0"/>
                    <w:widowControl/>
                    <w:suppressLineNumbers w:val="0"/>
                    <w:adjustRightInd w:val="0"/>
                    <w:snapToGrid w:val="0"/>
                    <w:spacing w:before="0" w:beforeAutospacing="0" w:after="0" w:afterAutospacing="0" w:line="520" w:lineRule="exact"/>
                    <w:ind w:left="0" w:leftChars="0" w:right="0" w:firstLine="0" w:firstLineChars="0"/>
                    <w:jc w:val="left"/>
                    <w:rPr>
                      <w:rFonts w:hint="default" w:ascii="Times New Roman" w:hAnsi="Times New Roman" w:eastAsia="方正仿宋_GBK" w:cs="Times New Roman"/>
                      <w:bCs/>
                      <w:kern w:val="0"/>
                      <w:sz w:val="28"/>
                      <w:szCs w:val="28"/>
                      <w:highlight w:val="none"/>
                      <w:u w:val="none"/>
                    </w:rPr>
                  </w:pPr>
                  <w:r>
                    <w:rPr>
                      <w:rFonts w:hint="default" w:ascii="Times New Roman" w:hAnsi="Times New Roman" w:eastAsia="方正仿宋_GBK" w:cs="Times New Roman"/>
                      <w:bCs/>
                      <w:kern w:val="0"/>
                      <w:sz w:val="28"/>
                      <w:szCs w:val="28"/>
                      <w:highlight w:val="none"/>
                      <w:u w:val="none"/>
                    </w:rPr>
                    <w:t xml:space="preserve">开户银行：               </w:t>
                  </w:r>
                </w:p>
              </w:tc>
              <w:tc>
                <w:tcPr>
                  <w:tcW w:w="2516" w:type="pct"/>
                  <w:noWrap w:val="0"/>
                  <w:vAlign w:val="top"/>
                </w:tcPr>
                <w:p w14:paraId="78D778C7">
                  <w:pPr>
                    <w:keepNext w:val="0"/>
                    <w:keepLines w:val="0"/>
                    <w:widowControl/>
                    <w:suppressLineNumbers w:val="0"/>
                    <w:adjustRightInd w:val="0"/>
                    <w:snapToGrid w:val="0"/>
                    <w:spacing w:before="0" w:beforeAutospacing="0" w:after="0" w:afterAutospacing="0" w:line="520" w:lineRule="exact"/>
                    <w:ind w:left="0" w:leftChars="0" w:right="0" w:firstLine="0" w:firstLineChars="0"/>
                    <w:jc w:val="left"/>
                    <w:rPr>
                      <w:rFonts w:hint="default" w:ascii="Times New Roman" w:hAnsi="Times New Roman" w:eastAsia="方正仿宋_GBK" w:cs="Times New Roman"/>
                      <w:bCs/>
                      <w:kern w:val="0"/>
                      <w:sz w:val="28"/>
                      <w:szCs w:val="28"/>
                      <w:highlight w:val="none"/>
                      <w:u w:val="none"/>
                    </w:rPr>
                  </w:pPr>
                  <w:r>
                    <w:rPr>
                      <w:rFonts w:hint="default" w:ascii="Times New Roman" w:hAnsi="Times New Roman" w:eastAsia="方正仿宋_GBK" w:cs="Times New Roman"/>
                      <w:bCs/>
                      <w:kern w:val="0"/>
                      <w:sz w:val="28"/>
                      <w:szCs w:val="28"/>
                      <w:highlight w:val="none"/>
                      <w:u w:val="none"/>
                    </w:rPr>
                    <w:t>开户银行：</w:t>
                  </w:r>
                </w:p>
              </w:tc>
            </w:tr>
            <w:tr w14:paraId="0B66F61B">
              <w:tblPrEx>
                <w:tblCellMar>
                  <w:top w:w="0" w:type="dxa"/>
                  <w:left w:w="108" w:type="dxa"/>
                  <w:bottom w:w="0" w:type="dxa"/>
                  <w:right w:w="108" w:type="dxa"/>
                </w:tblCellMar>
              </w:tblPrEx>
              <w:trPr>
                <w:trHeight w:val="474" w:hRule="atLeast"/>
              </w:trPr>
              <w:tc>
                <w:tcPr>
                  <w:tcW w:w="2483" w:type="pct"/>
                  <w:noWrap w:val="0"/>
                  <w:vAlign w:val="top"/>
                </w:tcPr>
                <w:p w14:paraId="7E4E777D">
                  <w:pPr>
                    <w:keepNext w:val="0"/>
                    <w:keepLines w:val="0"/>
                    <w:widowControl/>
                    <w:suppressLineNumbers w:val="0"/>
                    <w:adjustRightInd w:val="0"/>
                    <w:snapToGrid w:val="0"/>
                    <w:spacing w:before="0" w:beforeAutospacing="0" w:after="0" w:afterAutospacing="0" w:line="520" w:lineRule="exact"/>
                    <w:ind w:left="0" w:leftChars="0" w:right="0" w:firstLine="0" w:firstLineChars="0"/>
                    <w:jc w:val="left"/>
                    <w:rPr>
                      <w:rFonts w:hint="default" w:ascii="Times New Roman" w:hAnsi="Times New Roman" w:eastAsia="方正仿宋_GBK" w:cs="Times New Roman"/>
                      <w:bCs/>
                      <w:kern w:val="0"/>
                      <w:sz w:val="28"/>
                      <w:szCs w:val="28"/>
                      <w:highlight w:val="none"/>
                      <w:u w:val="none"/>
                    </w:rPr>
                  </w:pPr>
                  <w:r>
                    <w:rPr>
                      <w:rFonts w:hint="default" w:ascii="Times New Roman" w:hAnsi="Times New Roman" w:eastAsia="方正仿宋_GBK" w:cs="Times New Roman"/>
                      <w:bCs/>
                      <w:kern w:val="0"/>
                      <w:sz w:val="28"/>
                      <w:szCs w:val="28"/>
                      <w:highlight w:val="none"/>
                      <w:u w:val="none"/>
                    </w:rPr>
                    <w:t xml:space="preserve">账  号：                      </w:t>
                  </w:r>
                </w:p>
              </w:tc>
              <w:tc>
                <w:tcPr>
                  <w:tcW w:w="2516" w:type="pct"/>
                  <w:noWrap w:val="0"/>
                  <w:vAlign w:val="top"/>
                </w:tcPr>
                <w:p w14:paraId="0D12010E">
                  <w:pPr>
                    <w:keepNext w:val="0"/>
                    <w:keepLines w:val="0"/>
                    <w:widowControl/>
                    <w:suppressLineNumbers w:val="0"/>
                    <w:adjustRightInd w:val="0"/>
                    <w:snapToGrid w:val="0"/>
                    <w:spacing w:before="0" w:beforeAutospacing="0" w:after="0" w:afterAutospacing="0" w:line="520" w:lineRule="exact"/>
                    <w:ind w:left="0" w:leftChars="0" w:right="0" w:firstLine="0" w:firstLineChars="0"/>
                    <w:jc w:val="left"/>
                    <w:rPr>
                      <w:rFonts w:hint="default" w:ascii="Times New Roman" w:hAnsi="Times New Roman" w:eastAsia="方正仿宋_GBK" w:cs="Times New Roman"/>
                      <w:bCs/>
                      <w:kern w:val="0"/>
                      <w:sz w:val="28"/>
                      <w:szCs w:val="28"/>
                      <w:highlight w:val="none"/>
                      <w:u w:val="none"/>
                    </w:rPr>
                  </w:pPr>
                  <w:r>
                    <w:rPr>
                      <w:rFonts w:hint="default" w:ascii="Times New Roman" w:hAnsi="Times New Roman" w:eastAsia="方正仿宋_GBK" w:cs="Times New Roman"/>
                      <w:bCs/>
                      <w:kern w:val="0"/>
                      <w:sz w:val="28"/>
                      <w:szCs w:val="28"/>
                      <w:highlight w:val="none"/>
                      <w:u w:val="none"/>
                    </w:rPr>
                    <w:t>账  号：</w:t>
                  </w:r>
                </w:p>
              </w:tc>
            </w:tr>
          </w:tbl>
          <w:p w14:paraId="11F75848">
            <w:pPr>
              <w:widowControl/>
              <w:snapToGrid w:val="0"/>
              <w:spacing w:before="100" w:beforeAutospacing="1" w:afterAutospacing="1" w:line="520" w:lineRule="exact"/>
              <w:ind w:firstLine="560" w:firstLineChars="200"/>
              <w:jc w:val="left"/>
              <w:rPr>
                <w:rFonts w:hint="default" w:ascii="Times New Roman" w:hAnsi="Times New Roman" w:eastAsia="方正仿宋_GBK" w:cs="Times New Roman"/>
                <w:color w:val="auto"/>
                <w:kern w:val="0"/>
                <w:sz w:val="28"/>
                <w:szCs w:val="28"/>
                <w:highlight w:val="none"/>
                <w:lang w:eastAsia="en-US"/>
              </w:rPr>
            </w:pPr>
          </w:p>
        </w:tc>
      </w:tr>
    </w:tbl>
    <w:p w14:paraId="0E8ADCC9">
      <w:pPr>
        <w:spacing w:line="240" w:lineRule="auto"/>
        <w:ind w:firstLine="0" w:firstLineChars="0"/>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（本页无正文，合同签署页）</w:t>
      </w:r>
    </w:p>
    <w:p w14:paraId="1CA65A6C">
      <w:pPr>
        <w:spacing w:after="120" w:line="240" w:lineRule="auto"/>
        <w:ind w:firstLine="0" w:firstLineChars="0"/>
        <w:rPr>
          <w:rFonts w:hint="default" w:ascii="Times New Roman" w:hAnsi="Times New Roman" w:eastAsia="宋体" w:cs="Times New Roman"/>
          <w:color w:val="auto"/>
          <w:sz w:val="20"/>
          <w:szCs w:val="20"/>
          <w:highlight w:val="none"/>
        </w:rPr>
      </w:pPr>
    </w:p>
    <w:p w14:paraId="428B13E7">
      <w:pPr>
        <w:spacing w:before="312" w:beforeLines="100" w:line="400" w:lineRule="atLeast"/>
        <w:ind w:firstLine="643" w:firstLineChars="200"/>
        <w:rPr>
          <w:rFonts w:hint="default" w:ascii="Times New Roman" w:hAnsi="Times New Roman" w:eastAsia="黑体" w:cs="Times New Roman"/>
          <w:b/>
          <w:bCs/>
          <w:color w:val="auto"/>
          <w:sz w:val="32"/>
          <w:szCs w:val="32"/>
          <w:highlight w:val="none"/>
        </w:rPr>
      </w:pPr>
    </w:p>
    <w:p w14:paraId="6A38FF6B">
      <w:pPr>
        <w:spacing w:line="240" w:lineRule="auto"/>
        <w:ind w:firstLine="0" w:firstLineChars="0"/>
        <w:jc w:val="both"/>
        <w:rPr>
          <w:rFonts w:hint="default" w:ascii="Times New Roman" w:hAnsi="Times New Roman" w:eastAsia="方正仿宋_GBK" w:cs="Times New Roman"/>
          <w:color w:val="auto"/>
          <w:sz w:val="28"/>
          <w:szCs w:val="28"/>
          <w:highlight w:val="none"/>
        </w:rPr>
      </w:pPr>
    </w:p>
    <w:p w14:paraId="64B85E4A">
      <w:pPr>
        <w:spacing w:line="240" w:lineRule="auto"/>
        <w:ind w:firstLine="0" w:firstLineChars="0"/>
        <w:jc w:val="both"/>
        <w:rPr>
          <w:rFonts w:hint="default" w:ascii="Times New Roman" w:hAnsi="Times New Roman" w:eastAsia="方正仿宋_GBK" w:cs="Times New Roman"/>
          <w:color w:val="auto"/>
          <w:sz w:val="28"/>
          <w:szCs w:val="28"/>
          <w:highlight w:val="none"/>
        </w:rPr>
      </w:pPr>
    </w:p>
    <w:p w14:paraId="20201463">
      <w:pPr>
        <w:spacing w:line="240" w:lineRule="auto"/>
        <w:ind w:firstLine="0" w:firstLineChars="0"/>
        <w:jc w:val="both"/>
        <w:rPr>
          <w:rFonts w:hint="eastAsia" w:ascii="Times New Roman" w:hAnsi="Times New Roman" w:eastAsia="方正仿宋_GBK" w:cs="Times New Roman"/>
          <w:color w:val="auto"/>
          <w:sz w:val="28"/>
          <w:szCs w:val="28"/>
          <w:highlight w:val="none"/>
          <w:lang w:eastAsia="zh-CN"/>
        </w:rPr>
      </w:pPr>
      <w:r>
        <w:rPr>
          <w:rFonts w:hint="default" w:ascii="Times New Roman" w:hAnsi="Times New Roman" w:eastAsia="方正仿宋_GBK" w:cs="Times New Roman"/>
          <w:color w:val="auto"/>
          <w:sz w:val="28"/>
          <w:szCs w:val="28"/>
          <w:highlight w:val="none"/>
        </w:rPr>
        <w:t xml:space="preserve">附件 </w:t>
      </w:r>
      <w:r>
        <w:rPr>
          <w:rFonts w:hint="eastAsia" w:ascii="Times New Roman" w:hAnsi="Times New Roman" w:eastAsia="方正仿宋_GBK" w:cs="Times New Roman"/>
          <w:color w:val="auto"/>
          <w:sz w:val="28"/>
          <w:szCs w:val="28"/>
          <w:highlight w:val="none"/>
          <w:lang w:val="en-US" w:eastAsia="zh-CN"/>
        </w:rPr>
        <w:t>3</w:t>
      </w:r>
    </w:p>
    <w:p w14:paraId="7E9AA4AA">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b/>
          <w:bCs/>
          <w:color w:val="auto"/>
          <w:sz w:val="36"/>
          <w:szCs w:val="36"/>
          <w:highlight w:val="none"/>
        </w:rPr>
        <w:t>廉洁协议书</w:t>
      </w:r>
    </w:p>
    <w:p w14:paraId="2FE6A2D1">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Times New Roman" w:hAnsi="Times New Roman" w:eastAsia="方正仿宋_GBK" w:cs="Times New Roman"/>
          <w:bCs/>
          <w:color w:val="auto"/>
          <w:sz w:val="28"/>
          <w:szCs w:val="28"/>
          <w:highlight w:val="none"/>
          <w:lang w:eastAsia="zh-CN"/>
        </w:rPr>
      </w:pPr>
      <w:r>
        <w:rPr>
          <w:rFonts w:hint="default" w:ascii="Times New Roman" w:hAnsi="Times New Roman" w:eastAsia="方正仿宋_GBK" w:cs="Times New Roman"/>
          <w:bCs/>
          <w:color w:val="auto"/>
          <w:sz w:val="28"/>
          <w:szCs w:val="28"/>
          <w:highlight w:val="none"/>
        </w:rPr>
        <w:t>甲方：</w:t>
      </w:r>
      <w:r>
        <w:rPr>
          <w:rFonts w:hint="eastAsia" w:ascii="Times New Roman" w:hAnsi="Times New Roman" w:eastAsia="方正仿宋_GBK" w:cs="Times New Roman"/>
          <w:bCs/>
          <w:color w:val="auto"/>
          <w:sz w:val="28"/>
          <w:szCs w:val="28"/>
          <w:highlight w:val="none"/>
          <w:lang w:val="en-US" w:eastAsia="zh-CN"/>
        </w:rPr>
        <w:t xml:space="preserve"> </w:t>
      </w:r>
    </w:p>
    <w:p w14:paraId="41D6D0BA">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Times New Roman" w:hAnsi="Times New Roman" w:eastAsia="方正仿宋_GBK" w:cs="Times New Roman"/>
          <w:color w:val="auto"/>
          <w:sz w:val="28"/>
          <w:szCs w:val="28"/>
          <w:highlight w:val="none"/>
          <w:lang w:val="en-US" w:eastAsia="zh-CN"/>
        </w:rPr>
      </w:pPr>
      <w:r>
        <w:rPr>
          <w:rFonts w:hint="default" w:ascii="Times New Roman" w:hAnsi="Times New Roman" w:eastAsia="方正仿宋_GBK" w:cs="Times New Roman"/>
          <w:color w:val="auto"/>
          <w:sz w:val="28"/>
          <w:szCs w:val="28"/>
          <w:highlight w:val="none"/>
        </w:rPr>
        <w:t>乙方：</w:t>
      </w:r>
      <w:r>
        <w:rPr>
          <w:rFonts w:hint="eastAsia" w:ascii="Times New Roman" w:hAnsi="Times New Roman" w:eastAsia="方正仿宋_GBK" w:cs="Times New Roman"/>
          <w:color w:val="auto"/>
          <w:sz w:val="28"/>
          <w:szCs w:val="28"/>
          <w:highlight w:val="none"/>
          <w:lang w:val="en-US" w:eastAsia="zh-CN"/>
        </w:rPr>
        <w:t xml:space="preserve"> </w:t>
      </w:r>
    </w:p>
    <w:p w14:paraId="4596575F">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为加强采购供应中的廉政建设，规范、约束采供双方的行为，防止违法违纪和不廉洁问题的发生，维护双方合法利益，经双方同意在签订采购合同的同时签订本廉政协议。</w:t>
      </w:r>
    </w:p>
    <w:p w14:paraId="7FD4E331">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一、甲方义务</w:t>
      </w:r>
    </w:p>
    <w:p w14:paraId="5808B20C">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1.不向乙方索取或接受乙方任何形式的现金、回扣、有价证券、支付凭证和贵重礼品等。</w:t>
      </w:r>
    </w:p>
    <w:p w14:paraId="36141406">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2.不得以咨询费、劳务费等名义向乙方索要合同以外的各种费用，不在乙方报销应由本单位或个人承担的费用。</w:t>
      </w:r>
    </w:p>
    <w:p w14:paraId="223C0F7E">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3.不接受乙方提供的公款旅游和高消费健身、娱乐等活动，不参加乙方组织的有可能影响公正履行合同的宴请等活动。</w:t>
      </w:r>
    </w:p>
    <w:p w14:paraId="32D7345B">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4.不准在乙方合同签订、验收、付款等正常按约履行时为索取合同约定以外的费用而借故刁难。</w:t>
      </w:r>
    </w:p>
    <w:p w14:paraId="307EDC34">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5.甲方工作人员不得为谋求私利而擅自私下与乙方就采购有关的工作问题进行私下协商或者达成默契。</w:t>
      </w:r>
    </w:p>
    <w:p w14:paraId="42E76033">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二、乙方义务</w:t>
      </w:r>
    </w:p>
    <w:p w14:paraId="7392DB99">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1.不以任何形式向甲方及其工作人员送礼金、回扣、有价证券、支付凭证和贵重礼品等。</w:t>
      </w:r>
    </w:p>
    <w:p w14:paraId="6D22CC5A">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2.不支付甲方及其工作人员以咨询费、劳务费等名义索要的各种费用，报销应由甲方单位或个人承担的费用。</w:t>
      </w:r>
    </w:p>
    <w:p w14:paraId="2B496A02">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3.不为甲方及其工作人员提供公款旅游和高消费健身、娱乐活动，不利用宴请等活动影响甲方人员公正履行合同。</w:t>
      </w:r>
    </w:p>
    <w:p w14:paraId="075EA7AF">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4.不得在合同签订、验收、付款等履行环节为获得便利向甲方任何人支付任何合同约定以外的费用。</w:t>
      </w:r>
    </w:p>
    <w:p w14:paraId="3E3A968E">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5.不得为谋求私利擅自与甲方工作人员就采购有关的工作问题进行私下协商或者达成默契。</w:t>
      </w:r>
    </w:p>
    <w:p w14:paraId="6651D7DD">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三、违约责任</w:t>
      </w:r>
    </w:p>
    <w:p w14:paraId="0E7DF3E8">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1.在项目进行过程中,如发现甲方工作人员违反上述协议者，视情况予以批评、通报、警告直至开除，情况严重者将追究其经济及法律责任。乙方如发现甲方工作人员有违反以上协议者，可以向港控集团纪检监察室或新区纪检监察部门举报。</w:t>
      </w:r>
    </w:p>
    <w:p w14:paraId="22F70AC7">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2.乙方违反协议约定义务的，甲方有权终止采购合同直至取消乙方今后作为甲方采购单位的资格。</w:t>
      </w:r>
    </w:p>
    <w:p w14:paraId="72B96C05">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双方不履行上述各自义务构成违法违纪的，由司法机关和有关执纪部门按管辖权依法依纪处理，所认定的事实和处理结果作为承担约定违约责任的依据。</w:t>
      </w:r>
    </w:p>
    <w:p w14:paraId="5883FC30">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四、违约责任追究</w:t>
      </w:r>
    </w:p>
    <w:p w14:paraId="2F39C955">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1.双方应自觉履行本协议书并互相监督，一方不履行协议的，另一方有权利和义务进行举报。乙方举报甲方违规违纪行为，甲方保证乙方不会在正常业务中受不公平待遇。</w:t>
      </w:r>
    </w:p>
    <w:p w14:paraId="62946885">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2.双方在履行协议中发生争议，一方有权向对方的上级主管部门和纪检部门反映情况，并要求帮助解决争议。</w:t>
      </w:r>
    </w:p>
    <w:p w14:paraId="79AAB4AE">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3.违约方应在有关部门对不履行本协议的行为做出处理或结论后30天内向对方支付造成对方损失的违约金。</w:t>
      </w:r>
    </w:p>
    <w:p w14:paraId="4BC0375F">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五、甲乙双方有其他违反廉政规定的行为，影响正确履行采购合同的，按国家的有关法律、法规和规章制度，对相关方予以责任追究。</w:t>
      </w:r>
    </w:p>
    <w:p w14:paraId="2DA23D86">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六、本协议作为采购合同的组成部分，具有与采购合同同等的法律效力。</w:t>
      </w:r>
    </w:p>
    <w:p w14:paraId="36626FB5">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七、本协议有效期限为采购合同签署之日起，至采购合同履行期满止。</w:t>
      </w:r>
    </w:p>
    <w:p w14:paraId="4265E59C">
      <w:pPr>
        <w:keepNext w:val="0"/>
        <w:keepLines w:val="0"/>
        <w:pageBreakBefore w:val="0"/>
        <w:widowControl w:val="0"/>
        <w:kinsoku/>
        <w:wordWrap/>
        <w:overflowPunct/>
        <w:topLinePunct w:val="0"/>
        <w:autoSpaceDE/>
        <w:autoSpaceDN/>
        <w:bidi w:val="0"/>
        <w:spacing w:line="420" w:lineRule="exact"/>
        <w:ind w:firstLine="0" w:firstLineChars="0"/>
        <w:textAlignment w:val="auto"/>
        <w:rPr>
          <w:rFonts w:hint="default" w:ascii="Times New Roman" w:hAnsi="Times New Roman" w:eastAsia="方正仿宋_GBK" w:cs="Times New Roman"/>
          <w:color w:val="auto"/>
          <w:sz w:val="28"/>
          <w:szCs w:val="28"/>
          <w:highlight w:val="none"/>
        </w:rPr>
      </w:pPr>
    </w:p>
    <w:p w14:paraId="170AD4AC">
      <w:pPr>
        <w:keepNext w:val="0"/>
        <w:keepLines w:val="0"/>
        <w:pageBreakBefore w:val="0"/>
        <w:widowControl w:val="0"/>
        <w:kinsoku/>
        <w:wordWrap/>
        <w:overflowPunct/>
        <w:topLinePunct w:val="0"/>
        <w:autoSpaceDE/>
        <w:autoSpaceDN/>
        <w:bidi w:val="0"/>
        <w:adjustRightInd w:val="0"/>
        <w:snapToGrid w:val="0"/>
        <w:spacing w:line="420" w:lineRule="exact"/>
        <w:ind w:firstLine="0" w:firstLineChars="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lang w:bidi="ar"/>
        </w:rPr>
        <w:t>甲方：(盖章)                        乙方：（盖章）</w:t>
      </w:r>
    </w:p>
    <w:p w14:paraId="3FC8245A">
      <w:pPr>
        <w:keepNext w:val="0"/>
        <w:keepLines w:val="0"/>
        <w:pageBreakBefore w:val="0"/>
        <w:widowControl w:val="0"/>
        <w:kinsoku/>
        <w:wordWrap/>
        <w:overflowPunct/>
        <w:topLinePunct w:val="0"/>
        <w:autoSpaceDE/>
        <w:autoSpaceDN/>
        <w:bidi w:val="0"/>
        <w:adjustRightInd w:val="0"/>
        <w:snapToGrid w:val="0"/>
        <w:spacing w:line="420" w:lineRule="exact"/>
        <w:ind w:firstLine="0" w:firstLineChars="0"/>
        <w:textAlignment w:val="auto"/>
        <w:rPr>
          <w:rFonts w:hint="default" w:ascii="Times New Roman" w:hAnsi="Times New Roman" w:eastAsia="方正仿宋_GBK" w:cs="Times New Roman"/>
          <w:color w:val="auto"/>
          <w:sz w:val="28"/>
          <w:szCs w:val="28"/>
          <w:highlight w:val="none"/>
          <w:lang w:bidi="ar"/>
        </w:rPr>
      </w:pPr>
    </w:p>
    <w:p w14:paraId="0BEEC358">
      <w:pPr>
        <w:pStyle w:val="2"/>
        <w:spacing w:after="0" w:line="420" w:lineRule="exact"/>
        <w:rPr>
          <w:rFonts w:hint="default"/>
          <w:highlight w:val="none"/>
        </w:rPr>
      </w:pPr>
    </w:p>
    <w:p w14:paraId="5A4805EE">
      <w:pPr>
        <w:pStyle w:val="2"/>
        <w:spacing w:after="0" w:line="420" w:lineRule="exact"/>
        <w:rPr>
          <w:rFonts w:hint="default"/>
          <w:highlight w:val="none"/>
        </w:rPr>
      </w:pPr>
    </w:p>
    <w:p w14:paraId="512B0EAA">
      <w:pPr>
        <w:keepNext w:val="0"/>
        <w:keepLines w:val="0"/>
        <w:pageBreakBefore w:val="0"/>
        <w:widowControl w:val="0"/>
        <w:kinsoku/>
        <w:wordWrap/>
        <w:overflowPunct/>
        <w:topLinePunct w:val="0"/>
        <w:autoSpaceDE/>
        <w:autoSpaceDN/>
        <w:bidi w:val="0"/>
        <w:adjustRightInd w:val="0"/>
        <w:snapToGrid w:val="0"/>
        <w:spacing w:line="420" w:lineRule="exact"/>
        <w:ind w:firstLine="0" w:firstLineChars="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lang w:bidi="ar"/>
        </w:rPr>
        <w:t xml:space="preserve">法定代表人（或分/支公司负责人）  </w:t>
      </w:r>
      <w:r>
        <w:rPr>
          <w:rFonts w:hint="default" w:ascii="Times New Roman" w:hAnsi="Times New Roman" w:eastAsia="方正仿宋_GBK" w:cs="Times New Roman"/>
          <w:color w:val="auto"/>
          <w:sz w:val="28"/>
          <w:szCs w:val="28"/>
          <w:highlight w:val="none"/>
          <w:lang w:val="en-US" w:eastAsia="zh-CN" w:bidi="ar"/>
        </w:rPr>
        <w:t xml:space="preserve">   </w:t>
      </w:r>
      <w:r>
        <w:rPr>
          <w:rFonts w:hint="default" w:ascii="Times New Roman" w:hAnsi="Times New Roman" w:eastAsia="方正仿宋_GBK" w:cs="Times New Roman"/>
          <w:color w:val="auto"/>
          <w:sz w:val="28"/>
          <w:szCs w:val="28"/>
          <w:highlight w:val="none"/>
          <w:lang w:bidi="ar"/>
        </w:rPr>
        <w:t>法定代表人</w:t>
      </w:r>
    </w:p>
    <w:p w14:paraId="3C6DB68E">
      <w:pPr>
        <w:keepNext w:val="0"/>
        <w:keepLines w:val="0"/>
        <w:pageBreakBefore w:val="0"/>
        <w:widowControl w:val="0"/>
        <w:kinsoku/>
        <w:wordWrap/>
        <w:overflowPunct/>
        <w:topLinePunct w:val="0"/>
        <w:autoSpaceDE/>
        <w:autoSpaceDN/>
        <w:bidi w:val="0"/>
        <w:adjustRightInd w:val="0"/>
        <w:snapToGrid w:val="0"/>
        <w:spacing w:line="420" w:lineRule="exact"/>
        <w:ind w:firstLine="0" w:firstLineChars="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lang w:bidi="ar"/>
        </w:rPr>
        <w:t>或其授权的代理人：（签</w:t>
      </w:r>
      <w:r>
        <w:rPr>
          <w:rFonts w:hint="eastAsia" w:ascii="Times New Roman" w:hAnsi="Times New Roman" w:eastAsia="方正仿宋_GBK" w:cs="Times New Roman"/>
          <w:color w:val="auto"/>
          <w:sz w:val="28"/>
          <w:szCs w:val="28"/>
          <w:highlight w:val="none"/>
          <w:lang w:val="en-US" w:eastAsia="zh-CN" w:bidi="ar"/>
        </w:rPr>
        <w:t>章</w:t>
      </w:r>
      <w:r>
        <w:rPr>
          <w:rFonts w:hint="default" w:ascii="Times New Roman" w:hAnsi="Times New Roman" w:eastAsia="方正仿宋_GBK" w:cs="Times New Roman"/>
          <w:color w:val="auto"/>
          <w:sz w:val="28"/>
          <w:szCs w:val="28"/>
          <w:highlight w:val="none"/>
          <w:lang w:bidi="ar"/>
        </w:rPr>
        <w:t>）          或其授权的代理人：（签</w:t>
      </w:r>
      <w:r>
        <w:rPr>
          <w:rFonts w:hint="eastAsia" w:ascii="Times New Roman" w:hAnsi="Times New Roman" w:eastAsia="方正仿宋_GBK" w:cs="Times New Roman"/>
          <w:color w:val="auto"/>
          <w:sz w:val="28"/>
          <w:szCs w:val="28"/>
          <w:highlight w:val="none"/>
          <w:lang w:val="en-US" w:eastAsia="zh-CN" w:bidi="ar"/>
        </w:rPr>
        <w:t>章</w:t>
      </w:r>
      <w:r>
        <w:rPr>
          <w:rFonts w:hint="default" w:ascii="Times New Roman" w:hAnsi="Times New Roman" w:eastAsia="方正仿宋_GBK" w:cs="Times New Roman"/>
          <w:color w:val="auto"/>
          <w:sz w:val="28"/>
          <w:szCs w:val="28"/>
          <w:highlight w:val="none"/>
          <w:lang w:bidi="ar"/>
        </w:rPr>
        <w:t xml:space="preserve">）  </w:t>
      </w:r>
    </w:p>
    <w:p w14:paraId="11A0DE93">
      <w:pPr>
        <w:keepNext w:val="0"/>
        <w:keepLines w:val="0"/>
        <w:pageBreakBefore w:val="0"/>
        <w:widowControl w:val="0"/>
        <w:kinsoku/>
        <w:wordWrap/>
        <w:overflowPunct/>
        <w:topLinePunct w:val="0"/>
        <w:autoSpaceDE/>
        <w:autoSpaceDN/>
        <w:bidi w:val="0"/>
        <w:adjustRightInd w:val="0"/>
        <w:snapToGrid w:val="0"/>
        <w:spacing w:line="420" w:lineRule="exact"/>
        <w:ind w:firstLine="0" w:firstLineChars="0"/>
        <w:textAlignment w:val="auto"/>
        <w:rPr>
          <w:rFonts w:hint="default" w:ascii="Times New Roman" w:hAnsi="Times New Roman" w:eastAsia="方正仿宋_GBK" w:cs="Times New Roman"/>
          <w:color w:val="auto"/>
          <w:sz w:val="28"/>
          <w:szCs w:val="28"/>
          <w:highlight w:val="none"/>
          <w:lang w:bidi="ar"/>
        </w:rPr>
      </w:pPr>
    </w:p>
    <w:p w14:paraId="422484F8">
      <w:pPr>
        <w:keepNext w:val="0"/>
        <w:keepLines w:val="0"/>
        <w:pageBreakBefore w:val="0"/>
        <w:widowControl w:val="0"/>
        <w:kinsoku/>
        <w:wordWrap/>
        <w:overflowPunct/>
        <w:topLinePunct w:val="0"/>
        <w:autoSpaceDE/>
        <w:autoSpaceDN/>
        <w:bidi w:val="0"/>
        <w:spacing w:line="420" w:lineRule="exact"/>
        <w:jc w:val="left"/>
        <w:textAlignment w:val="auto"/>
        <w:rPr>
          <w:rFonts w:hint="default" w:ascii="Times New Roman" w:hAnsi="Times New Roman" w:eastAsia="方正仿宋_GBK" w:cs="Times New Roman"/>
          <w:color w:val="auto"/>
          <w:sz w:val="28"/>
          <w:szCs w:val="28"/>
          <w:highlight w:val="none"/>
          <w:lang w:bidi="ar"/>
        </w:rPr>
      </w:pPr>
    </w:p>
    <w:p w14:paraId="50F93207">
      <w:pPr>
        <w:keepNext w:val="0"/>
        <w:keepLines w:val="0"/>
        <w:pageBreakBefore w:val="0"/>
        <w:widowControl w:val="0"/>
        <w:kinsoku/>
        <w:wordWrap/>
        <w:overflowPunct/>
        <w:topLinePunct w:val="0"/>
        <w:autoSpaceDE/>
        <w:autoSpaceDN/>
        <w:bidi w:val="0"/>
        <w:spacing w:line="420" w:lineRule="exact"/>
        <w:ind w:firstLine="0" w:firstLineChars="0"/>
        <w:jc w:val="left"/>
        <w:textAlignment w:val="auto"/>
        <w:rPr>
          <w:rFonts w:hint="default" w:ascii="Times New Roman" w:hAnsi="Times New Roman" w:eastAsia="方正仿宋_GBK" w:cs="Times New Roman"/>
          <w:b/>
          <w:color w:val="333333"/>
          <w:kern w:val="2"/>
          <w:sz w:val="36"/>
          <w:szCs w:val="36"/>
          <w:highlight w:val="none"/>
          <w:lang w:val="en-US" w:eastAsia="zh-CN" w:bidi="ar-SA"/>
        </w:rPr>
      </w:pPr>
      <w:r>
        <w:rPr>
          <w:rFonts w:hint="default" w:ascii="Times New Roman" w:hAnsi="Times New Roman" w:eastAsia="方正仿宋_GBK" w:cs="Times New Roman"/>
          <w:color w:val="auto"/>
          <w:sz w:val="28"/>
          <w:szCs w:val="28"/>
          <w:highlight w:val="none"/>
          <w:lang w:bidi="ar"/>
        </w:rPr>
        <w:t xml:space="preserve">日期：    </w:t>
      </w:r>
    </w:p>
    <w:p w14:paraId="702ABCEF">
      <w:pPr>
        <w:ind w:firstLine="560"/>
        <w:rPr>
          <w:rFonts w:eastAsia="方正仿宋_GBK"/>
          <w:kern w:val="0"/>
          <w:sz w:val="28"/>
          <w:szCs w:val="28"/>
          <w:highlight w:val="none"/>
          <w:lang w:bidi="ar"/>
        </w:rPr>
      </w:pPr>
    </w:p>
    <w:p w14:paraId="1B202706">
      <w:pPr>
        <w:pStyle w:val="4"/>
        <w:keepNext w:val="0"/>
        <w:snapToGrid w:val="0"/>
        <w:spacing w:before="300" w:after="200" w:line="400" w:lineRule="atLeast"/>
        <w:ind w:firstLine="0" w:firstLineChars="0"/>
        <w:jc w:val="center"/>
        <w:rPr>
          <w:rFonts w:ascii="Times New Roman" w:hAnsi="Times New Roman" w:eastAsiaTheme="majorEastAsia"/>
          <w:bCs/>
          <w:kern w:val="2"/>
          <w:szCs w:val="36"/>
          <w:highlight w:val="none"/>
        </w:rPr>
      </w:pPr>
      <w:bookmarkStart w:id="238" w:name="_Toc8426"/>
    </w:p>
    <w:p w14:paraId="2C8650BD">
      <w:pPr>
        <w:pStyle w:val="4"/>
        <w:keepNext w:val="0"/>
        <w:snapToGrid w:val="0"/>
        <w:spacing w:before="300" w:after="200" w:line="400" w:lineRule="atLeast"/>
        <w:ind w:firstLine="0" w:firstLineChars="0"/>
        <w:jc w:val="center"/>
        <w:rPr>
          <w:rFonts w:ascii="Times New Roman" w:hAnsi="Times New Roman" w:eastAsiaTheme="majorEastAsia"/>
          <w:bCs/>
          <w:kern w:val="2"/>
          <w:szCs w:val="36"/>
          <w:highlight w:val="none"/>
        </w:rPr>
      </w:pPr>
      <w:bookmarkStart w:id="239" w:name="_Toc1242"/>
      <w:bookmarkStart w:id="240" w:name="_Toc14220"/>
      <w:r>
        <w:rPr>
          <w:rFonts w:ascii="Times New Roman" w:hAnsi="Times New Roman" w:eastAsiaTheme="majorEastAsia"/>
          <w:bCs/>
          <w:kern w:val="2"/>
          <w:szCs w:val="36"/>
          <w:highlight w:val="none"/>
        </w:rPr>
        <w:t>第</w:t>
      </w:r>
      <w:r>
        <w:rPr>
          <w:rFonts w:hint="eastAsia" w:ascii="Times New Roman" w:hAnsi="Times New Roman" w:eastAsiaTheme="majorEastAsia"/>
          <w:bCs/>
          <w:kern w:val="2"/>
          <w:szCs w:val="36"/>
          <w:highlight w:val="none"/>
        </w:rPr>
        <w:t>六</w:t>
      </w:r>
      <w:r>
        <w:rPr>
          <w:rFonts w:ascii="Times New Roman" w:hAnsi="Times New Roman" w:eastAsiaTheme="majorEastAsia"/>
          <w:bCs/>
          <w:kern w:val="2"/>
          <w:szCs w:val="36"/>
          <w:highlight w:val="none"/>
        </w:rPr>
        <w:t>章 响应文件格式</w:t>
      </w:r>
      <w:bookmarkEnd w:id="228"/>
      <w:bookmarkEnd w:id="238"/>
      <w:bookmarkEnd w:id="239"/>
      <w:bookmarkEnd w:id="240"/>
    </w:p>
    <w:p w14:paraId="37D4207A">
      <w:pPr>
        <w:pStyle w:val="15"/>
        <w:snapToGrid w:val="0"/>
        <w:spacing w:line="400" w:lineRule="atLeast"/>
        <w:ind w:firstLine="0" w:firstLineChars="0"/>
        <w:jc w:val="left"/>
        <w:rPr>
          <w:rFonts w:ascii="Times New Roman"/>
          <w:kern w:val="0"/>
          <w:sz w:val="24"/>
          <w:highlight w:val="none"/>
        </w:rPr>
      </w:pPr>
      <w:bookmarkStart w:id="241" w:name="_Toc520410661"/>
      <w:r>
        <w:rPr>
          <w:rFonts w:ascii="Times New Roman"/>
          <w:b/>
          <w:sz w:val="20"/>
          <w:highlight w:val="none"/>
        </w:rPr>
        <w:t>封面</w:t>
      </w:r>
      <w:bookmarkEnd w:id="241"/>
    </w:p>
    <w:p w14:paraId="5FEEBC8A">
      <w:pPr>
        <w:autoSpaceDE w:val="0"/>
        <w:autoSpaceDN w:val="0"/>
        <w:adjustRightInd w:val="0"/>
        <w:spacing w:line="360" w:lineRule="auto"/>
        <w:ind w:firstLine="0" w:firstLineChars="0"/>
        <w:jc w:val="left"/>
        <w:rPr>
          <w:kern w:val="0"/>
          <w:sz w:val="24"/>
          <w:highlight w:val="none"/>
        </w:rPr>
      </w:pPr>
    </w:p>
    <w:p w14:paraId="42E0387F">
      <w:pPr>
        <w:pStyle w:val="2"/>
        <w:spacing w:line="360" w:lineRule="auto"/>
        <w:ind w:firstLine="0" w:firstLineChars="0"/>
        <w:jc w:val="center"/>
        <w:rPr>
          <w:highlight w:val="none"/>
        </w:rPr>
      </w:pPr>
      <w:r>
        <w:rPr>
          <w:rFonts w:hint="eastAsia"/>
          <w:b/>
          <w:bCs/>
          <w:kern w:val="0"/>
          <w:sz w:val="56"/>
          <w:szCs w:val="56"/>
          <w:highlight w:val="none"/>
          <w:lang w:eastAsia="zh-CN"/>
        </w:rPr>
        <w:t>2026-2028年综保区冷链保险服务采购项目</w:t>
      </w:r>
    </w:p>
    <w:p w14:paraId="041E02AB">
      <w:pPr>
        <w:pStyle w:val="2"/>
        <w:ind w:left="0" w:leftChars="0" w:firstLine="0" w:firstLineChars="0"/>
        <w:rPr>
          <w:rFonts w:hint="eastAsia" w:eastAsia="宋体"/>
          <w:highlight w:val="none"/>
          <w:lang w:eastAsia="zh-CN"/>
        </w:rPr>
      </w:pPr>
    </w:p>
    <w:p w14:paraId="139AC742">
      <w:pPr>
        <w:pStyle w:val="3"/>
        <w:rPr>
          <w:rFonts w:hint="eastAsia"/>
          <w:highlight w:val="none"/>
          <w:lang w:eastAsia="zh-CN"/>
        </w:rPr>
      </w:pPr>
    </w:p>
    <w:p w14:paraId="0D6F883E">
      <w:pPr>
        <w:rPr>
          <w:rFonts w:hint="eastAsia"/>
          <w:highlight w:val="none"/>
          <w:lang w:eastAsia="zh-CN"/>
        </w:rPr>
      </w:pPr>
    </w:p>
    <w:p w14:paraId="078254AB">
      <w:pPr>
        <w:pStyle w:val="60"/>
        <w:rPr>
          <w:rFonts w:hint="eastAsia"/>
          <w:highlight w:val="none"/>
          <w:lang w:eastAsia="zh-CN"/>
        </w:rPr>
      </w:pPr>
    </w:p>
    <w:p w14:paraId="0E59188A">
      <w:pPr>
        <w:autoSpaceDE w:val="0"/>
        <w:autoSpaceDN w:val="0"/>
        <w:adjustRightInd w:val="0"/>
        <w:spacing w:line="400" w:lineRule="atLeast"/>
        <w:ind w:firstLine="0" w:firstLineChars="0"/>
        <w:jc w:val="center"/>
        <w:rPr>
          <w:b/>
          <w:kern w:val="0"/>
          <w:sz w:val="72"/>
          <w:szCs w:val="72"/>
          <w:highlight w:val="none"/>
        </w:rPr>
      </w:pPr>
      <w:r>
        <w:rPr>
          <w:b/>
          <w:kern w:val="0"/>
          <w:sz w:val="72"/>
          <w:szCs w:val="72"/>
          <w:highlight w:val="none"/>
        </w:rPr>
        <w:t>谈判响应文件</w:t>
      </w:r>
    </w:p>
    <w:p w14:paraId="0B0F2560">
      <w:pPr>
        <w:autoSpaceDE w:val="0"/>
        <w:autoSpaceDN w:val="0"/>
        <w:adjustRightInd w:val="0"/>
        <w:spacing w:line="400" w:lineRule="atLeast"/>
        <w:ind w:firstLine="0" w:firstLineChars="0"/>
        <w:jc w:val="left"/>
        <w:rPr>
          <w:kern w:val="0"/>
          <w:sz w:val="24"/>
          <w:highlight w:val="none"/>
        </w:rPr>
      </w:pPr>
    </w:p>
    <w:p w14:paraId="62FB4529">
      <w:pPr>
        <w:autoSpaceDE w:val="0"/>
        <w:autoSpaceDN w:val="0"/>
        <w:adjustRightInd w:val="0"/>
        <w:spacing w:line="400" w:lineRule="atLeast"/>
        <w:ind w:firstLine="0" w:firstLineChars="0"/>
        <w:rPr>
          <w:kern w:val="0"/>
          <w:sz w:val="28"/>
          <w:szCs w:val="28"/>
          <w:highlight w:val="none"/>
        </w:rPr>
      </w:pPr>
    </w:p>
    <w:p w14:paraId="32B6E4CD">
      <w:pPr>
        <w:autoSpaceDE w:val="0"/>
        <w:autoSpaceDN w:val="0"/>
        <w:adjustRightInd w:val="0"/>
        <w:spacing w:line="400" w:lineRule="atLeast"/>
        <w:ind w:firstLine="0" w:firstLineChars="0"/>
        <w:rPr>
          <w:kern w:val="0"/>
          <w:sz w:val="28"/>
          <w:szCs w:val="28"/>
          <w:highlight w:val="none"/>
        </w:rPr>
      </w:pPr>
    </w:p>
    <w:p w14:paraId="2D745F1F">
      <w:pPr>
        <w:autoSpaceDE w:val="0"/>
        <w:autoSpaceDN w:val="0"/>
        <w:adjustRightInd w:val="0"/>
        <w:spacing w:line="400" w:lineRule="atLeast"/>
        <w:ind w:firstLine="0" w:firstLineChars="0"/>
        <w:rPr>
          <w:kern w:val="0"/>
          <w:sz w:val="28"/>
          <w:szCs w:val="28"/>
          <w:highlight w:val="none"/>
        </w:rPr>
      </w:pPr>
    </w:p>
    <w:p w14:paraId="375F19C7">
      <w:pPr>
        <w:pStyle w:val="60"/>
        <w:rPr>
          <w:kern w:val="0"/>
          <w:sz w:val="28"/>
          <w:szCs w:val="28"/>
          <w:highlight w:val="none"/>
        </w:rPr>
      </w:pPr>
    </w:p>
    <w:p w14:paraId="230241F9">
      <w:pPr>
        <w:pStyle w:val="60"/>
        <w:rPr>
          <w:kern w:val="0"/>
          <w:sz w:val="28"/>
          <w:szCs w:val="28"/>
          <w:highlight w:val="none"/>
        </w:rPr>
      </w:pPr>
    </w:p>
    <w:p w14:paraId="6471E926">
      <w:pPr>
        <w:autoSpaceDE w:val="0"/>
        <w:autoSpaceDN w:val="0"/>
        <w:adjustRightInd w:val="0"/>
        <w:spacing w:line="400" w:lineRule="atLeast"/>
        <w:ind w:firstLine="708" w:firstLineChars="253"/>
        <w:rPr>
          <w:kern w:val="0"/>
          <w:sz w:val="28"/>
          <w:szCs w:val="28"/>
          <w:highlight w:val="none"/>
          <w:u w:val="single"/>
        </w:rPr>
      </w:pPr>
      <w:r>
        <w:rPr>
          <w:kern w:val="0"/>
          <w:sz w:val="28"/>
          <w:szCs w:val="28"/>
          <w:highlight w:val="none"/>
        </w:rPr>
        <w:t>供应商（单位公章</w:t>
      </w:r>
      <w:r>
        <w:rPr>
          <w:rFonts w:hint="eastAsia"/>
          <w:kern w:val="0"/>
          <w:sz w:val="28"/>
          <w:szCs w:val="28"/>
          <w:highlight w:val="none"/>
        </w:rPr>
        <w:t>）</w:t>
      </w:r>
      <w:r>
        <w:rPr>
          <w:kern w:val="0"/>
          <w:sz w:val="28"/>
          <w:szCs w:val="28"/>
          <w:highlight w:val="none"/>
        </w:rPr>
        <w:t>：</w:t>
      </w:r>
    </w:p>
    <w:p w14:paraId="262E9397">
      <w:pPr>
        <w:autoSpaceDE w:val="0"/>
        <w:autoSpaceDN w:val="0"/>
        <w:adjustRightInd w:val="0"/>
        <w:spacing w:line="400" w:lineRule="atLeast"/>
        <w:ind w:firstLine="708" w:firstLineChars="253"/>
        <w:rPr>
          <w:kern w:val="0"/>
          <w:sz w:val="28"/>
          <w:szCs w:val="28"/>
          <w:highlight w:val="none"/>
        </w:rPr>
      </w:pPr>
      <w:r>
        <w:rPr>
          <w:rFonts w:hint="eastAsia"/>
          <w:kern w:val="0"/>
          <w:sz w:val="28"/>
          <w:szCs w:val="28"/>
          <w:highlight w:val="none"/>
        </w:rPr>
        <w:t>法定代表人（或分/支公司负责人）</w:t>
      </w:r>
      <w:r>
        <w:rPr>
          <w:kern w:val="0"/>
          <w:sz w:val="28"/>
          <w:szCs w:val="28"/>
          <w:highlight w:val="none"/>
        </w:rPr>
        <w:t>或其委托代理人</w:t>
      </w:r>
    </w:p>
    <w:p w14:paraId="010A3C30">
      <w:pPr>
        <w:autoSpaceDE w:val="0"/>
        <w:autoSpaceDN w:val="0"/>
        <w:adjustRightInd w:val="0"/>
        <w:spacing w:line="400" w:lineRule="atLeast"/>
        <w:ind w:firstLine="708" w:firstLineChars="253"/>
        <w:rPr>
          <w:kern w:val="0"/>
          <w:sz w:val="28"/>
          <w:szCs w:val="28"/>
          <w:highlight w:val="none"/>
          <w:u w:val="single"/>
        </w:rPr>
      </w:pPr>
      <w:r>
        <w:rPr>
          <w:kern w:val="0"/>
          <w:sz w:val="28"/>
          <w:szCs w:val="28"/>
          <w:highlight w:val="none"/>
        </w:rPr>
        <w:t>（</w:t>
      </w:r>
      <w:r>
        <w:rPr>
          <w:rFonts w:hint="eastAsia"/>
          <w:kern w:val="0"/>
          <w:sz w:val="28"/>
          <w:szCs w:val="28"/>
          <w:highlight w:val="none"/>
        </w:rPr>
        <w:t>签名或盖章</w:t>
      </w:r>
      <w:r>
        <w:rPr>
          <w:kern w:val="0"/>
          <w:sz w:val="28"/>
          <w:szCs w:val="28"/>
          <w:highlight w:val="none"/>
        </w:rPr>
        <w:t>）：</w:t>
      </w:r>
    </w:p>
    <w:p w14:paraId="00B3A7B4">
      <w:pPr>
        <w:autoSpaceDE w:val="0"/>
        <w:autoSpaceDN w:val="0"/>
        <w:adjustRightInd w:val="0"/>
        <w:spacing w:line="400" w:lineRule="atLeast"/>
        <w:ind w:firstLine="708" w:firstLineChars="253"/>
        <w:rPr>
          <w:kern w:val="0"/>
          <w:sz w:val="28"/>
          <w:szCs w:val="28"/>
          <w:highlight w:val="none"/>
          <w:u w:val="single"/>
        </w:rPr>
      </w:pPr>
      <w:r>
        <w:rPr>
          <w:kern w:val="0"/>
          <w:sz w:val="28"/>
          <w:szCs w:val="28"/>
          <w:highlight w:val="none"/>
        </w:rPr>
        <w:t>联系电话（手机）：</w:t>
      </w:r>
    </w:p>
    <w:p w14:paraId="07354297">
      <w:pPr>
        <w:autoSpaceDE w:val="0"/>
        <w:autoSpaceDN w:val="0"/>
        <w:adjustRightInd w:val="0"/>
        <w:spacing w:line="400" w:lineRule="atLeast"/>
        <w:ind w:firstLine="0" w:firstLineChars="0"/>
        <w:rPr>
          <w:kern w:val="0"/>
          <w:sz w:val="28"/>
          <w:szCs w:val="28"/>
          <w:highlight w:val="none"/>
          <w:u w:val="single"/>
        </w:rPr>
      </w:pPr>
    </w:p>
    <w:p w14:paraId="2148618D">
      <w:pPr>
        <w:autoSpaceDE w:val="0"/>
        <w:autoSpaceDN w:val="0"/>
        <w:adjustRightInd w:val="0"/>
        <w:spacing w:line="400" w:lineRule="atLeast"/>
        <w:ind w:firstLine="3080" w:firstLineChars="1100"/>
        <w:rPr>
          <w:kern w:val="0"/>
          <w:sz w:val="28"/>
          <w:szCs w:val="28"/>
          <w:highlight w:val="none"/>
        </w:rPr>
      </w:pPr>
      <w:r>
        <w:rPr>
          <w:kern w:val="0"/>
          <w:sz w:val="28"/>
          <w:szCs w:val="28"/>
          <w:highlight w:val="none"/>
        </w:rPr>
        <w:t>202</w:t>
      </w:r>
      <w:r>
        <w:rPr>
          <w:rFonts w:hint="eastAsia"/>
          <w:kern w:val="0"/>
          <w:sz w:val="28"/>
          <w:szCs w:val="28"/>
          <w:highlight w:val="none"/>
          <w:lang w:val="en-US" w:eastAsia="zh-CN"/>
        </w:rPr>
        <w:t>6</w:t>
      </w:r>
      <w:r>
        <w:rPr>
          <w:kern w:val="0"/>
          <w:sz w:val="28"/>
          <w:szCs w:val="28"/>
          <w:highlight w:val="none"/>
        </w:rPr>
        <w:t>年  月  日</w:t>
      </w:r>
    </w:p>
    <w:p w14:paraId="2735F1FF">
      <w:pPr>
        <w:ind w:firstLine="720"/>
        <w:jc w:val="center"/>
        <w:rPr>
          <w:b/>
          <w:sz w:val="36"/>
          <w:szCs w:val="36"/>
          <w:highlight w:val="none"/>
        </w:rPr>
      </w:pPr>
      <w:bookmarkStart w:id="242" w:name="_Toc152045787"/>
      <w:bookmarkStart w:id="243" w:name="_Toc443200890"/>
      <w:bookmarkStart w:id="244" w:name="_Toc152042576"/>
      <w:bookmarkStart w:id="245" w:name="_Toc247527827"/>
      <w:bookmarkStart w:id="246" w:name="_Toc247514246"/>
      <w:bookmarkStart w:id="247" w:name="_Toc144974856"/>
    </w:p>
    <w:p w14:paraId="6DF4CB3E">
      <w:pPr>
        <w:ind w:firstLine="720"/>
        <w:jc w:val="center"/>
        <w:rPr>
          <w:b/>
          <w:sz w:val="36"/>
          <w:szCs w:val="36"/>
          <w:highlight w:val="none"/>
        </w:rPr>
      </w:pPr>
      <w:r>
        <w:rPr>
          <w:b/>
          <w:sz w:val="36"/>
          <w:szCs w:val="36"/>
          <w:highlight w:val="none"/>
        </w:rPr>
        <w:t>目  录</w:t>
      </w:r>
      <w:bookmarkEnd w:id="242"/>
      <w:bookmarkEnd w:id="243"/>
      <w:bookmarkEnd w:id="244"/>
      <w:bookmarkEnd w:id="245"/>
      <w:bookmarkEnd w:id="246"/>
      <w:bookmarkEnd w:id="247"/>
    </w:p>
    <w:p w14:paraId="6325FC3D">
      <w:pPr>
        <w:pStyle w:val="2"/>
        <w:ind w:firstLine="420"/>
        <w:rPr>
          <w:highlight w:val="none"/>
        </w:rPr>
      </w:pPr>
    </w:p>
    <w:p w14:paraId="434A8D99">
      <w:pPr>
        <w:spacing w:line="400" w:lineRule="atLeast"/>
        <w:ind w:firstLine="600"/>
        <w:rPr>
          <w:rFonts w:eastAsia="黑体"/>
          <w:sz w:val="30"/>
          <w:szCs w:val="30"/>
          <w:highlight w:val="none"/>
        </w:rPr>
      </w:pPr>
      <w:r>
        <w:rPr>
          <w:rFonts w:eastAsia="黑体"/>
          <w:sz w:val="30"/>
          <w:szCs w:val="30"/>
          <w:highlight w:val="none"/>
        </w:rPr>
        <w:t>注：各供应商必须拟定目录</w:t>
      </w:r>
    </w:p>
    <w:p w14:paraId="1E26ED77">
      <w:pPr>
        <w:widowControl/>
        <w:spacing w:line="400" w:lineRule="atLeast"/>
        <w:ind w:firstLine="420"/>
        <w:jc w:val="left"/>
        <w:rPr>
          <w:highlight w:val="none"/>
        </w:rPr>
      </w:pPr>
      <w:r>
        <w:rPr>
          <w:highlight w:val="none"/>
        </w:rPr>
        <w:br w:type="page"/>
      </w:r>
    </w:p>
    <w:p w14:paraId="5670C1A0">
      <w:pPr>
        <w:pStyle w:val="5"/>
        <w:spacing w:line="400" w:lineRule="atLeast"/>
        <w:ind w:firstLine="0" w:firstLineChars="0"/>
        <w:jc w:val="center"/>
        <w:rPr>
          <w:rFonts w:ascii="Times New Roman" w:hAnsi="Times New Roman"/>
          <w:b w:val="0"/>
          <w:highlight w:val="none"/>
        </w:rPr>
      </w:pPr>
      <w:bookmarkStart w:id="248" w:name="_Toc21147"/>
      <w:bookmarkStart w:id="249" w:name="_Toc19990"/>
      <w:bookmarkStart w:id="250" w:name="_Toc23642"/>
      <w:bookmarkStart w:id="251" w:name="_Toc247514247"/>
      <w:bookmarkStart w:id="252" w:name="_Toc152042577"/>
      <w:bookmarkStart w:id="253" w:name="_Toc152045788"/>
      <w:bookmarkStart w:id="254" w:name="_Toc247527828"/>
      <w:bookmarkStart w:id="255" w:name="_Toc144974857"/>
      <w:bookmarkStart w:id="256" w:name="_Toc443200892"/>
      <w:r>
        <w:rPr>
          <w:rFonts w:ascii="Times New Roman" w:hAnsi="Times New Roman"/>
          <w:b w:val="0"/>
          <w:highlight w:val="none"/>
        </w:rPr>
        <w:t>一、响应函</w:t>
      </w:r>
      <w:bookmarkEnd w:id="248"/>
      <w:bookmarkEnd w:id="249"/>
      <w:bookmarkEnd w:id="250"/>
    </w:p>
    <w:p w14:paraId="3EC0F755">
      <w:pPr>
        <w:keepNext w:val="0"/>
        <w:keepLines w:val="0"/>
        <w:pageBreakBefore w:val="0"/>
        <w:widowControl w:val="0"/>
        <w:kinsoku/>
        <w:overflowPunct/>
        <w:topLinePunct w:val="0"/>
        <w:autoSpaceDE/>
        <w:autoSpaceDN/>
        <w:bidi w:val="0"/>
        <w:snapToGrid w:val="0"/>
        <w:spacing w:line="390" w:lineRule="exact"/>
        <w:ind w:firstLine="0" w:firstLineChars="0"/>
        <w:textAlignment w:val="auto"/>
        <w:rPr>
          <w:bCs/>
          <w:sz w:val="24"/>
          <w:highlight w:val="none"/>
          <w:u w:val="single"/>
        </w:rPr>
      </w:pPr>
      <w:r>
        <w:rPr>
          <w:bCs/>
          <w:sz w:val="24"/>
          <w:highlight w:val="none"/>
        </w:rPr>
        <w:t>致：</w:t>
      </w:r>
      <w:r>
        <w:rPr>
          <w:bCs/>
          <w:sz w:val="24"/>
          <w:highlight w:val="none"/>
          <w:u w:val="single"/>
        </w:rPr>
        <w:t xml:space="preserve">  （采购人）  </w:t>
      </w:r>
    </w:p>
    <w:p w14:paraId="0BDD5A6A">
      <w:pPr>
        <w:keepNext w:val="0"/>
        <w:keepLines w:val="0"/>
        <w:pageBreakBefore w:val="0"/>
        <w:widowControl w:val="0"/>
        <w:kinsoku/>
        <w:overflowPunct/>
        <w:topLinePunct w:val="0"/>
        <w:autoSpaceDE/>
        <w:autoSpaceDN/>
        <w:bidi w:val="0"/>
        <w:spacing w:line="390" w:lineRule="exact"/>
        <w:ind w:firstLine="480"/>
        <w:textAlignment w:val="auto"/>
        <w:rPr>
          <w:bCs/>
          <w:sz w:val="24"/>
          <w:highlight w:val="none"/>
        </w:rPr>
      </w:pPr>
      <w:r>
        <w:rPr>
          <w:bCs/>
          <w:sz w:val="24"/>
          <w:highlight w:val="none"/>
        </w:rPr>
        <w:t>1</w:t>
      </w:r>
      <w:r>
        <w:rPr>
          <w:rFonts w:hint="eastAsia"/>
          <w:bCs/>
          <w:sz w:val="24"/>
          <w:highlight w:val="none"/>
        </w:rPr>
        <w:t>.</w:t>
      </w:r>
      <w:r>
        <w:rPr>
          <w:bCs/>
          <w:sz w:val="24"/>
          <w:highlight w:val="none"/>
        </w:rPr>
        <w:t>根据</w:t>
      </w:r>
      <w:r>
        <w:rPr>
          <w:bCs/>
          <w:sz w:val="24"/>
          <w:highlight w:val="none"/>
          <w:u w:val="single"/>
        </w:rPr>
        <w:t xml:space="preserve"> （项目名称） </w:t>
      </w:r>
      <w:r>
        <w:rPr>
          <w:bCs/>
          <w:sz w:val="24"/>
          <w:highlight w:val="none"/>
        </w:rPr>
        <w:t>谈判文件，经踏勘项目现场和研究上述谈判文件后，</w:t>
      </w:r>
      <w:r>
        <w:rPr>
          <w:rFonts w:hint="eastAsia" w:cs="宋体"/>
          <w:bCs/>
          <w:sz w:val="24"/>
          <w:highlight w:val="none"/>
          <w:lang w:bidi="ar"/>
        </w:rPr>
        <w:t>我方愿以</w:t>
      </w:r>
      <w:r>
        <w:rPr>
          <w:rFonts w:hint="eastAsia" w:cs="宋体"/>
          <w:b/>
          <w:bCs w:val="0"/>
          <w:color w:val="auto"/>
          <w:sz w:val="24"/>
          <w:highlight w:val="none"/>
          <w:u w:val="single"/>
          <w:lang w:bidi="ar"/>
        </w:rPr>
        <w:t xml:space="preserve">  </w:t>
      </w:r>
      <w:r>
        <w:rPr>
          <w:rFonts w:hint="eastAsia" w:cs="宋体"/>
          <w:b/>
          <w:bCs w:val="0"/>
          <w:color w:val="auto"/>
          <w:sz w:val="24"/>
          <w:highlight w:val="none"/>
          <w:u w:val="single"/>
          <w:lang w:val="en-US" w:eastAsia="zh-CN" w:bidi="ar"/>
        </w:rPr>
        <w:t xml:space="preserve">       </w:t>
      </w:r>
      <w:r>
        <w:rPr>
          <w:rFonts w:hint="eastAsia" w:cs="宋体"/>
          <w:b/>
          <w:bCs w:val="0"/>
          <w:color w:val="auto"/>
          <w:szCs w:val="21"/>
          <w:highlight w:val="none"/>
          <w:u w:val="single"/>
          <w:lang w:bidi="ar"/>
        </w:rPr>
        <w:t xml:space="preserve"> </w:t>
      </w:r>
      <w:r>
        <w:rPr>
          <w:rFonts w:hint="eastAsia" w:cs="宋体"/>
          <w:b/>
          <w:bCs w:val="0"/>
          <w:color w:val="auto"/>
          <w:szCs w:val="21"/>
          <w:highlight w:val="none"/>
          <w:u w:val="single"/>
          <w:lang w:val="en-US" w:eastAsia="zh-CN" w:bidi="ar"/>
        </w:rPr>
        <w:t xml:space="preserve"> </w:t>
      </w:r>
      <w:r>
        <w:rPr>
          <w:rFonts w:hint="eastAsia" w:cs="宋体"/>
          <w:b/>
          <w:bCs w:val="0"/>
          <w:color w:val="auto"/>
          <w:szCs w:val="21"/>
          <w:highlight w:val="none"/>
          <w:u w:val="single"/>
          <w:lang w:bidi="ar"/>
        </w:rPr>
        <w:t xml:space="preserve">  </w:t>
      </w:r>
      <w:r>
        <w:rPr>
          <w:rFonts w:hint="eastAsia" w:cs="宋体"/>
          <w:b/>
          <w:bCs w:val="0"/>
          <w:color w:val="auto"/>
          <w:sz w:val="24"/>
          <w:highlight w:val="none"/>
          <w:lang w:bidi="ar"/>
        </w:rPr>
        <w:t>元</w:t>
      </w:r>
      <w:r>
        <w:rPr>
          <w:rFonts w:hint="eastAsia" w:cs="宋体"/>
          <w:b/>
          <w:bCs w:val="0"/>
          <w:color w:val="auto"/>
          <w:sz w:val="24"/>
          <w:highlight w:val="none"/>
          <w:lang w:eastAsia="zh-CN" w:bidi="ar"/>
        </w:rPr>
        <w:t>（</w:t>
      </w:r>
      <w:r>
        <w:rPr>
          <w:rFonts w:hint="eastAsia" w:cs="宋体"/>
          <w:b/>
          <w:bCs w:val="0"/>
          <w:color w:val="auto"/>
          <w:sz w:val="24"/>
          <w:highlight w:val="none"/>
          <w:lang w:bidi="ar"/>
        </w:rPr>
        <w:t>大写：</w:t>
      </w:r>
      <w:r>
        <w:rPr>
          <w:rFonts w:hint="eastAsia" w:cs="宋体"/>
          <w:b/>
          <w:bCs w:val="0"/>
          <w:color w:val="auto"/>
          <w:sz w:val="24"/>
          <w:highlight w:val="none"/>
          <w:u w:val="single"/>
          <w:lang w:bidi="ar"/>
        </w:rPr>
        <w:t xml:space="preserve">       </w:t>
      </w:r>
      <w:r>
        <w:rPr>
          <w:rFonts w:hint="eastAsia" w:cs="宋体"/>
          <w:b/>
          <w:bCs w:val="0"/>
          <w:color w:val="auto"/>
          <w:sz w:val="24"/>
          <w:highlight w:val="none"/>
          <w:lang w:bidi="ar"/>
        </w:rPr>
        <w:t>元</w:t>
      </w:r>
      <w:r>
        <w:rPr>
          <w:rFonts w:hint="eastAsia" w:cs="宋体"/>
          <w:b/>
          <w:bCs w:val="0"/>
          <w:color w:val="auto"/>
          <w:sz w:val="24"/>
          <w:highlight w:val="none"/>
          <w:lang w:eastAsia="zh-CN" w:bidi="ar"/>
        </w:rPr>
        <w:t>）</w:t>
      </w:r>
      <w:r>
        <w:rPr>
          <w:rFonts w:hint="eastAsia" w:cs="宋体"/>
          <w:b w:val="0"/>
          <w:bCs/>
          <w:color w:val="auto"/>
          <w:sz w:val="24"/>
          <w:highlight w:val="none"/>
          <w:lang w:eastAsia="zh-CN" w:bidi="ar"/>
        </w:rPr>
        <w:t>（</w:t>
      </w:r>
      <w:r>
        <w:rPr>
          <w:rFonts w:hint="eastAsia" w:cs="宋体"/>
          <w:b w:val="0"/>
          <w:bCs/>
          <w:color w:val="auto"/>
          <w:sz w:val="24"/>
          <w:highlight w:val="none"/>
          <w:lang w:val="en-US" w:eastAsia="zh-CN" w:bidi="ar"/>
        </w:rPr>
        <w:t>详见附表报价单</w:t>
      </w:r>
      <w:r>
        <w:rPr>
          <w:rFonts w:hint="eastAsia" w:cs="宋体"/>
          <w:b w:val="0"/>
          <w:bCs/>
          <w:color w:val="auto"/>
          <w:sz w:val="24"/>
          <w:highlight w:val="none"/>
          <w:lang w:eastAsia="zh-CN" w:bidi="ar"/>
        </w:rPr>
        <w:t>）</w:t>
      </w:r>
      <w:r>
        <w:rPr>
          <w:bCs/>
          <w:sz w:val="24"/>
          <w:highlight w:val="none"/>
        </w:rPr>
        <w:t>作为本项目的</w:t>
      </w:r>
      <w:r>
        <w:rPr>
          <w:rFonts w:hint="eastAsia"/>
          <w:bCs/>
          <w:sz w:val="24"/>
          <w:highlight w:val="none"/>
        </w:rPr>
        <w:t>谈判</w:t>
      </w:r>
      <w:r>
        <w:rPr>
          <w:bCs/>
          <w:sz w:val="24"/>
          <w:highlight w:val="none"/>
        </w:rPr>
        <w:t>报价</w:t>
      </w:r>
      <w:r>
        <w:rPr>
          <w:sz w:val="24"/>
          <w:highlight w:val="none"/>
        </w:rPr>
        <w:t>，其中增值税税率为：</w:t>
      </w:r>
      <w:r>
        <w:rPr>
          <w:bCs/>
          <w:sz w:val="24"/>
          <w:highlight w:val="none"/>
          <w:u w:val="single"/>
        </w:rPr>
        <w:t xml:space="preserve"> </w:t>
      </w:r>
      <w:r>
        <w:rPr>
          <w:rFonts w:hint="eastAsia"/>
          <w:bCs/>
          <w:sz w:val="24"/>
          <w:highlight w:val="none"/>
          <w:u w:val="single"/>
        </w:rPr>
        <w:t>6</w:t>
      </w:r>
      <w:r>
        <w:rPr>
          <w:bCs/>
          <w:sz w:val="24"/>
          <w:highlight w:val="none"/>
          <w:u w:val="single"/>
        </w:rPr>
        <w:t xml:space="preserve"> </w:t>
      </w:r>
      <w:r>
        <w:rPr>
          <w:bCs/>
          <w:sz w:val="24"/>
          <w:highlight w:val="none"/>
        </w:rPr>
        <w:t>%</w:t>
      </w:r>
      <w:r>
        <w:rPr>
          <w:rFonts w:hint="eastAsia"/>
          <w:bCs/>
          <w:sz w:val="24"/>
          <w:highlight w:val="none"/>
        </w:rPr>
        <w:t>（</w:t>
      </w:r>
      <w:r>
        <w:rPr>
          <w:rFonts w:hint="eastAsia"/>
          <w:b/>
          <w:sz w:val="24"/>
          <w:highlight w:val="none"/>
        </w:rPr>
        <w:t>响应函中的税率不得更改，付款时应适用调整后最新税率，合同原约定的不含税价不因税率变化而改变</w:t>
      </w:r>
      <w:r>
        <w:rPr>
          <w:rFonts w:hint="eastAsia"/>
          <w:bCs/>
          <w:sz w:val="24"/>
          <w:highlight w:val="none"/>
        </w:rPr>
        <w:t>）</w:t>
      </w:r>
      <w:r>
        <w:rPr>
          <w:sz w:val="24"/>
          <w:highlight w:val="none"/>
        </w:rPr>
        <w:t>并按</w:t>
      </w:r>
      <w:r>
        <w:rPr>
          <w:rFonts w:hint="eastAsia"/>
          <w:sz w:val="24"/>
          <w:highlight w:val="none"/>
        </w:rPr>
        <w:t>谈判</w:t>
      </w:r>
      <w:r>
        <w:rPr>
          <w:sz w:val="24"/>
          <w:highlight w:val="none"/>
        </w:rPr>
        <w:t>文件要求、合同条款等完成本项目，并承担任何质量缺陷保修责任。</w:t>
      </w:r>
    </w:p>
    <w:p w14:paraId="45E24284">
      <w:pPr>
        <w:keepNext w:val="0"/>
        <w:keepLines w:val="0"/>
        <w:pageBreakBefore w:val="0"/>
        <w:widowControl w:val="0"/>
        <w:kinsoku/>
        <w:wordWrap w:val="0"/>
        <w:overflowPunct/>
        <w:topLinePunct w:val="0"/>
        <w:autoSpaceDE/>
        <w:autoSpaceDN/>
        <w:bidi w:val="0"/>
        <w:snapToGrid w:val="0"/>
        <w:spacing w:line="390" w:lineRule="exact"/>
        <w:ind w:firstLine="480"/>
        <w:textAlignment w:val="auto"/>
        <w:rPr>
          <w:bCs/>
          <w:sz w:val="24"/>
          <w:highlight w:val="none"/>
        </w:rPr>
      </w:pPr>
      <w:r>
        <w:rPr>
          <w:bCs/>
          <w:sz w:val="24"/>
          <w:highlight w:val="none"/>
        </w:rPr>
        <w:t>2</w:t>
      </w:r>
      <w:r>
        <w:rPr>
          <w:rFonts w:hint="eastAsia"/>
          <w:bCs/>
          <w:sz w:val="24"/>
          <w:highlight w:val="none"/>
        </w:rPr>
        <w:t>.</w:t>
      </w:r>
      <w:r>
        <w:rPr>
          <w:bCs/>
          <w:sz w:val="24"/>
          <w:highlight w:val="none"/>
        </w:rPr>
        <w:t>我方保证质量达到</w:t>
      </w:r>
      <w:r>
        <w:rPr>
          <w:rFonts w:hint="eastAsia"/>
          <w:bCs/>
          <w:sz w:val="24"/>
          <w:highlight w:val="none"/>
          <w:u w:val="single"/>
        </w:rPr>
        <w:t xml:space="preserve">  </w:t>
      </w:r>
      <w:r>
        <w:rPr>
          <w:bCs/>
          <w:sz w:val="24"/>
          <w:highlight w:val="none"/>
          <w:u w:val="single"/>
        </w:rPr>
        <w:t>合格</w:t>
      </w:r>
      <w:r>
        <w:rPr>
          <w:rFonts w:hint="eastAsia"/>
          <w:bCs/>
          <w:sz w:val="24"/>
          <w:highlight w:val="none"/>
          <w:u w:val="single"/>
        </w:rPr>
        <w:t xml:space="preserve">  </w:t>
      </w:r>
      <w:r>
        <w:rPr>
          <w:bCs/>
          <w:sz w:val="24"/>
          <w:highlight w:val="none"/>
        </w:rPr>
        <w:t>标准，</w:t>
      </w:r>
      <w:r>
        <w:rPr>
          <w:sz w:val="24"/>
          <w:highlight w:val="none"/>
        </w:rPr>
        <w:t>符合竞争性谈判文件及采购</w:t>
      </w:r>
      <w:r>
        <w:rPr>
          <w:rFonts w:hint="eastAsia"/>
          <w:sz w:val="24"/>
          <w:highlight w:val="none"/>
        </w:rPr>
        <w:t>人要求</w:t>
      </w:r>
      <w:r>
        <w:rPr>
          <w:sz w:val="24"/>
          <w:highlight w:val="none"/>
        </w:rPr>
        <w:t>，</w:t>
      </w:r>
      <w:r>
        <w:rPr>
          <w:rFonts w:hint="eastAsia"/>
          <w:b/>
          <w:bCs/>
          <w:sz w:val="24"/>
          <w:highlight w:val="none"/>
          <w:lang w:val="en-US" w:eastAsia="zh-CN"/>
        </w:rPr>
        <w:t>服务期为</w:t>
      </w:r>
      <w:r>
        <w:rPr>
          <w:rFonts w:hint="eastAsia"/>
          <w:b/>
          <w:bCs/>
          <w:sz w:val="24"/>
          <w:highlight w:val="none"/>
          <w:u w:val="single"/>
          <w:lang w:val="en-US" w:eastAsia="zh-CN"/>
        </w:rPr>
        <w:t xml:space="preserve"> 730 </w:t>
      </w:r>
      <w:r>
        <w:rPr>
          <w:rFonts w:hint="eastAsia"/>
          <w:b/>
          <w:bCs/>
          <w:sz w:val="24"/>
          <w:highlight w:val="none"/>
          <w:lang w:val="en-US" w:eastAsia="zh-CN"/>
        </w:rPr>
        <w:t>天</w:t>
      </w:r>
      <w:r>
        <w:rPr>
          <w:bCs/>
          <w:sz w:val="24"/>
          <w:highlight w:val="none"/>
        </w:rPr>
        <w:t>。</w:t>
      </w:r>
    </w:p>
    <w:p w14:paraId="141E89AA">
      <w:pPr>
        <w:keepNext w:val="0"/>
        <w:keepLines w:val="0"/>
        <w:pageBreakBefore w:val="0"/>
        <w:widowControl w:val="0"/>
        <w:kinsoku/>
        <w:overflowPunct/>
        <w:topLinePunct w:val="0"/>
        <w:autoSpaceDE/>
        <w:autoSpaceDN/>
        <w:bidi w:val="0"/>
        <w:spacing w:line="390" w:lineRule="exact"/>
        <w:ind w:firstLine="480"/>
        <w:textAlignment w:val="auto"/>
        <w:rPr>
          <w:bCs/>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w:t>
      </w:r>
      <w:r>
        <w:rPr>
          <w:bCs/>
          <w:color w:val="000000" w:themeColor="text1"/>
          <w:sz w:val="24"/>
          <w:highlight w:val="none"/>
          <w14:textFill>
            <w14:solidFill>
              <w14:schemeClr w14:val="tx1"/>
            </w14:solidFill>
          </w14:textFill>
        </w:rPr>
        <w:t>我方授权委托</w:t>
      </w:r>
      <w:r>
        <w:rPr>
          <w:rFonts w:hint="eastAsia"/>
          <w:bCs/>
          <w:color w:val="000000" w:themeColor="text1"/>
          <w:sz w:val="24"/>
          <w:highlight w:val="none"/>
          <w:u w:val="single"/>
          <w14:textFill>
            <w14:solidFill>
              <w14:schemeClr w14:val="tx1"/>
            </w14:solidFill>
          </w14:textFill>
        </w:rPr>
        <w:t xml:space="preserve">         </w:t>
      </w:r>
      <w:r>
        <w:rPr>
          <w:bCs/>
          <w:color w:val="000000" w:themeColor="text1"/>
          <w:sz w:val="24"/>
          <w:highlight w:val="none"/>
          <w14:textFill>
            <w14:solidFill>
              <w14:schemeClr w14:val="tx1"/>
            </w14:solidFill>
          </w14:textFill>
        </w:rPr>
        <w:t>同志（身份证号：</w:t>
      </w:r>
      <w:r>
        <w:rPr>
          <w:bCs/>
          <w:color w:val="000000" w:themeColor="text1"/>
          <w:sz w:val="24"/>
          <w:highlight w:val="none"/>
          <w:u w:val="single"/>
          <w14:textFill>
            <w14:solidFill>
              <w14:schemeClr w14:val="tx1"/>
            </w14:solidFill>
          </w14:textFill>
        </w:rPr>
        <w:t xml:space="preserve">              </w:t>
      </w:r>
      <w:r>
        <w:rPr>
          <w:bCs/>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电话：</w:t>
      </w:r>
      <w:r>
        <w:rPr>
          <w:rFonts w:hint="eastAsia"/>
          <w:bCs/>
          <w:color w:val="000000" w:themeColor="text1"/>
          <w:sz w:val="24"/>
          <w:highlight w:val="none"/>
          <w:u w:val="single"/>
          <w14:textFill>
            <w14:solidFill>
              <w14:schemeClr w14:val="tx1"/>
            </w14:solidFill>
          </w14:textFill>
        </w:rPr>
        <w:t xml:space="preserve">         </w:t>
      </w:r>
      <w:r>
        <w:rPr>
          <w:bCs/>
          <w:color w:val="000000" w:themeColor="text1"/>
          <w:sz w:val="24"/>
          <w:highlight w:val="none"/>
          <w14:textFill>
            <w14:solidFill>
              <w14:schemeClr w14:val="tx1"/>
            </w14:solidFill>
          </w14:textFill>
        </w:rPr>
        <w:t>）作为我方代表参加谈判会议。</w:t>
      </w:r>
    </w:p>
    <w:p w14:paraId="7293EBB6">
      <w:pPr>
        <w:keepNext w:val="0"/>
        <w:keepLines w:val="0"/>
        <w:pageBreakBefore w:val="0"/>
        <w:widowControl w:val="0"/>
        <w:kinsoku/>
        <w:overflowPunct/>
        <w:topLinePunct w:val="0"/>
        <w:autoSpaceDE/>
        <w:autoSpaceDN/>
        <w:bidi w:val="0"/>
        <w:spacing w:line="390" w:lineRule="exact"/>
        <w:ind w:firstLine="480"/>
        <w:textAlignment w:val="auto"/>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4</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我方承诺在谈判文件规定的谈判有效期内不修改、撤销响应文件</w:t>
      </w:r>
      <w:r>
        <w:rPr>
          <w:color w:val="000000"/>
          <w:sz w:val="24"/>
          <w:highlight w:val="none"/>
        </w:rPr>
        <w:t>，</w:t>
      </w:r>
      <w:r>
        <w:rPr>
          <w:bCs/>
          <w:sz w:val="24"/>
          <w:highlight w:val="none"/>
        </w:rPr>
        <w:t>在本次谈判过程中无弄虚作假和串通参与谈判等违法、违规行为，并愿意承担因弄虚作假和串通参与谈判所引起的一切法律责任</w:t>
      </w:r>
      <w:r>
        <w:rPr>
          <w:color w:val="000000" w:themeColor="text1"/>
          <w:sz w:val="24"/>
          <w:highlight w:val="none"/>
          <w14:textFill>
            <w14:solidFill>
              <w14:schemeClr w14:val="tx1"/>
            </w14:solidFill>
          </w14:textFill>
        </w:rPr>
        <w:t>。</w:t>
      </w:r>
    </w:p>
    <w:p w14:paraId="2FC6A4B9">
      <w:pPr>
        <w:keepNext w:val="0"/>
        <w:keepLines w:val="0"/>
        <w:pageBreakBefore w:val="0"/>
        <w:widowControl w:val="0"/>
        <w:kinsoku/>
        <w:overflowPunct/>
        <w:topLinePunct w:val="0"/>
        <w:autoSpaceDE/>
        <w:autoSpaceDN/>
        <w:bidi w:val="0"/>
        <w:spacing w:line="390" w:lineRule="exact"/>
        <w:ind w:firstLine="480"/>
        <w:textAlignment w:val="auto"/>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5</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如果我方成交，将派出</w:t>
      </w:r>
      <w:r>
        <w:rPr>
          <w:color w:val="000000" w:themeColor="text1"/>
          <w:sz w:val="24"/>
          <w:highlight w:val="none"/>
          <w:u w:val="single"/>
          <w14:textFill>
            <w14:solidFill>
              <w14:schemeClr w14:val="tx1"/>
            </w14:solidFill>
          </w14:textFill>
        </w:rPr>
        <w:t xml:space="preserve">        </w:t>
      </w:r>
      <w:r>
        <w:rPr>
          <w:color w:val="000000" w:themeColor="text1"/>
          <w:sz w:val="24"/>
          <w:highlight w:val="none"/>
          <w14:textFill>
            <w14:solidFill>
              <w14:schemeClr w14:val="tx1"/>
            </w14:solidFill>
          </w14:textFill>
        </w:rPr>
        <w:t>（姓名）（</w:t>
      </w:r>
      <w:r>
        <w:rPr>
          <w:bCs/>
          <w:color w:val="000000" w:themeColor="text1"/>
          <w:sz w:val="24"/>
          <w:highlight w:val="none"/>
          <w14:textFill>
            <w14:solidFill>
              <w14:schemeClr w14:val="tx1"/>
            </w14:solidFill>
          </w14:textFill>
        </w:rPr>
        <w:t>身份证号：</w:t>
      </w:r>
      <w:r>
        <w:rPr>
          <w:bCs/>
          <w:color w:val="000000" w:themeColor="text1"/>
          <w:sz w:val="24"/>
          <w:highlight w:val="none"/>
          <w:u w:val="single"/>
          <w14:textFill>
            <w14:solidFill>
              <w14:schemeClr w14:val="tx1"/>
            </w14:solidFill>
          </w14:textFill>
        </w:rPr>
        <w:t xml:space="preserve">              </w:t>
      </w:r>
      <w:r>
        <w:rPr>
          <w:bCs/>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电话：</w:t>
      </w:r>
      <w:r>
        <w:rPr>
          <w:rFonts w:hint="eastAsia"/>
          <w:bCs/>
          <w:color w:val="000000" w:themeColor="text1"/>
          <w:sz w:val="24"/>
          <w:highlight w:val="none"/>
          <w:u w:val="single"/>
          <w14:textFill>
            <w14:solidFill>
              <w14:schemeClr w14:val="tx1"/>
            </w14:solidFill>
          </w14:textFill>
        </w:rPr>
        <w:t xml:space="preserve">         </w:t>
      </w:r>
      <w:r>
        <w:rPr>
          <w:color w:val="000000" w:themeColor="text1"/>
          <w:sz w:val="24"/>
          <w:highlight w:val="none"/>
          <w14:textFill>
            <w14:solidFill>
              <w14:schemeClr w14:val="tx1"/>
            </w14:solidFill>
          </w14:textFill>
        </w:rPr>
        <w:t>）作为本项目的项目负责人。</w:t>
      </w:r>
    </w:p>
    <w:p w14:paraId="72AA0D91">
      <w:pPr>
        <w:keepNext w:val="0"/>
        <w:keepLines w:val="0"/>
        <w:pageBreakBefore w:val="0"/>
        <w:widowControl w:val="0"/>
        <w:kinsoku/>
        <w:overflowPunct/>
        <w:topLinePunct w:val="0"/>
        <w:autoSpaceDE/>
        <w:autoSpaceDN/>
        <w:bidi w:val="0"/>
        <w:spacing w:line="390" w:lineRule="exact"/>
        <w:ind w:firstLine="480"/>
        <w:textAlignment w:val="auto"/>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6</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如我方成交：</w:t>
      </w:r>
    </w:p>
    <w:p w14:paraId="00D77502">
      <w:pPr>
        <w:keepNext w:val="0"/>
        <w:keepLines w:val="0"/>
        <w:pageBreakBefore w:val="0"/>
        <w:widowControl w:val="0"/>
        <w:kinsoku/>
        <w:overflowPunct/>
        <w:topLinePunct w:val="0"/>
        <w:autoSpaceDE/>
        <w:autoSpaceDN/>
        <w:bidi w:val="0"/>
        <w:spacing w:line="390" w:lineRule="exact"/>
        <w:ind w:firstLine="283" w:firstLineChars="118"/>
        <w:textAlignment w:val="auto"/>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（1）我方承诺在成交结果公示后的期限内与你方签订合同。</w:t>
      </w:r>
    </w:p>
    <w:p w14:paraId="64B06E9E">
      <w:pPr>
        <w:keepNext w:val="0"/>
        <w:keepLines w:val="0"/>
        <w:pageBreakBefore w:val="0"/>
        <w:widowControl w:val="0"/>
        <w:kinsoku/>
        <w:overflowPunct/>
        <w:topLinePunct w:val="0"/>
        <w:autoSpaceDE/>
        <w:autoSpaceDN/>
        <w:bidi w:val="0"/>
        <w:spacing w:line="390" w:lineRule="exact"/>
        <w:ind w:firstLine="283" w:firstLineChars="118"/>
        <w:textAlignment w:val="auto"/>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（2）我方承诺按照谈判文件规定向你方递交履约保证金。</w:t>
      </w:r>
    </w:p>
    <w:p w14:paraId="5F9099A3">
      <w:pPr>
        <w:keepNext w:val="0"/>
        <w:keepLines w:val="0"/>
        <w:pageBreakBefore w:val="0"/>
        <w:widowControl w:val="0"/>
        <w:kinsoku/>
        <w:overflowPunct/>
        <w:topLinePunct w:val="0"/>
        <w:autoSpaceDE/>
        <w:autoSpaceDN/>
        <w:bidi w:val="0"/>
        <w:spacing w:line="390" w:lineRule="exact"/>
        <w:ind w:firstLine="283" w:firstLineChars="118"/>
        <w:textAlignment w:val="auto"/>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（3）我方将严格履行响应文件中的全部承诺和责任，并遵守谈判文件中对供应商的所有规定。</w:t>
      </w:r>
    </w:p>
    <w:p w14:paraId="4962D948">
      <w:pPr>
        <w:keepNext w:val="0"/>
        <w:keepLines w:val="0"/>
        <w:pageBreakBefore w:val="0"/>
        <w:widowControl w:val="0"/>
        <w:kinsoku/>
        <w:overflowPunct/>
        <w:topLinePunct w:val="0"/>
        <w:autoSpaceDE/>
        <w:autoSpaceDN/>
        <w:bidi w:val="0"/>
        <w:spacing w:line="390" w:lineRule="exact"/>
        <w:ind w:firstLine="480"/>
        <w:textAlignment w:val="auto"/>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7</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我方在此声明，所递交的响应文件及有关资料内容完整、真实和准确，且不存在第二章“供应商须知”第1.4.</w:t>
      </w:r>
      <w:r>
        <w:rPr>
          <w:rFonts w:hint="eastAsia"/>
          <w:color w:val="000000" w:themeColor="text1"/>
          <w:sz w:val="24"/>
          <w:highlight w:val="none"/>
          <w14:textFill>
            <w14:solidFill>
              <w14:schemeClr w14:val="tx1"/>
            </w14:solidFill>
          </w14:textFill>
        </w:rPr>
        <w:t>3</w:t>
      </w:r>
      <w:r>
        <w:rPr>
          <w:color w:val="000000" w:themeColor="text1"/>
          <w:sz w:val="24"/>
          <w:highlight w:val="none"/>
          <w14:textFill>
            <w14:solidFill>
              <w14:schemeClr w14:val="tx1"/>
            </w14:solidFill>
          </w14:textFill>
        </w:rPr>
        <w:t>项规定的任何一种情形。</w:t>
      </w:r>
    </w:p>
    <w:p w14:paraId="70367B8A">
      <w:pPr>
        <w:keepNext w:val="0"/>
        <w:keepLines w:val="0"/>
        <w:pageBreakBefore w:val="0"/>
        <w:widowControl w:val="0"/>
        <w:kinsoku/>
        <w:overflowPunct/>
        <w:topLinePunct w:val="0"/>
        <w:autoSpaceDE/>
        <w:autoSpaceDN/>
        <w:bidi w:val="0"/>
        <w:adjustRightInd w:val="0"/>
        <w:snapToGrid w:val="0"/>
        <w:spacing w:line="390" w:lineRule="exact"/>
        <w:ind w:firstLine="480"/>
        <w:textAlignment w:val="auto"/>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8</w:t>
      </w:r>
      <w:r>
        <w:rPr>
          <w:rFonts w:hint="eastAsia"/>
          <w:bCs/>
          <w:color w:val="000000" w:themeColor="text1"/>
          <w:sz w:val="24"/>
          <w:highlight w:val="none"/>
          <w14:textFill>
            <w14:solidFill>
              <w14:schemeClr w14:val="tx1"/>
            </w14:solidFill>
          </w14:textFill>
        </w:rPr>
        <w:t>.</w:t>
      </w:r>
      <w:r>
        <w:rPr>
          <w:bCs/>
          <w:color w:val="000000" w:themeColor="text1"/>
          <w:sz w:val="24"/>
          <w:highlight w:val="none"/>
          <w14:textFill>
            <w14:solidFill>
              <w14:schemeClr w14:val="tx1"/>
            </w14:solidFill>
          </w14:textFill>
        </w:rPr>
        <w:t>我方在此声明，不出借（挂靠）营业执照（资质证书），如成交中、成交后被发现存在出借（挂靠）营业执照（资质证书）的行为，愿意无条件接受被取消成交资格及成交（候选人）资格、保证金不予退还、履约保证金不予退还、</w:t>
      </w:r>
      <w:r>
        <w:rPr>
          <w:sz w:val="24"/>
          <w:highlight w:val="none"/>
        </w:rPr>
        <w:t>合同解除及清除出场，</w:t>
      </w:r>
      <w:r>
        <w:rPr>
          <w:bCs/>
          <w:color w:val="000000" w:themeColor="text1"/>
          <w:sz w:val="24"/>
          <w:highlight w:val="none"/>
          <w14:textFill>
            <w14:solidFill>
              <w14:schemeClr w14:val="tx1"/>
            </w14:solidFill>
          </w14:textFill>
        </w:rPr>
        <w:t>一切损失自行承担。</w:t>
      </w:r>
    </w:p>
    <w:p w14:paraId="738E4118">
      <w:pPr>
        <w:keepNext w:val="0"/>
        <w:keepLines w:val="0"/>
        <w:pageBreakBefore w:val="0"/>
        <w:widowControl w:val="0"/>
        <w:kinsoku/>
        <w:overflowPunct/>
        <w:topLinePunct w:val="0"/>
        <w:autoSpaceDE/>
        <w:autoSpaceDN/>
        <w:bidi w:val="0"/>
        <w:spacing w:line="390" w:lineRule="exact"/>
        <w:ind w:firstLine="480"/>
        <w:textAlignment w:val="auto"/>
        <w:rPr>
          <w:bCs/>
          <w:sz w:val="24"/>
          <w:highlight w:val="none"/>
        </w:rPr>
      </w:pPr>
      <w:r>
        <w:rPr>
          <w:rFonts w:hint="eastAsia"/>
          <w:bCs/>
          <w:color w:val="000000" w:themeColor="text1"/>
          <w:sz w:val="24"/>
          <w:highlight w:val="none"/>
          <w14:textFill>
            <w14:solidFill>
              <w14:schemeClr w14:val="tx1"/>
            </w14:solidFill>
          </w14:textFill>
        </w:rPr>
        <w:t>9.</w:t>
      </w:r>
      <w:r>
        <w:rPr>
          <w:rFonts w:hint="eastAsia"/>
          <w:bCs/>
          <w:color w:val="000000" w:themeColor="text1"/>
          <w:sz w:val="24"/>
          <w:highlight w:val="none"/>
          <w:u w:val="single"/>
          <w14:textFill>
            <w14:solidFill>
              <w14:schemeClr w14:val="tx1"/>
            </w14:solidFill>
          </w14:textFill>
        </w:rPr>
        <w:t xml:space="preserve">            </w:t>
      </w:r>
      <w:r>
        <w:rPr>
          <w:color w:val="000000" w:themeColor="text1"/>
          <w:sz w:val="24"/>
          <w:highlight w:val="none"/>
          <w14:textFill>
            <w14:solidFill>
              <w14:schemeClr w14:val="tx1"/>
            </w14:solidFill>
          </w14:textFill>
        </w:rPr>
        <w:t>（其他补充说明）。</w:t>
      </w:r>
    </w:p>
    <w:p w14:paraId="22A63512">
      <w:pPr>
        <w:keepNext w:val="0"/>
        <w:keepLines w:val="0"/>
        <w:pageBreakBefore w:val="0"/>
        <w:widowControl w:val="0"/>
        <w:kinsoku/>
        <w:overflowPunct/>
        <w:topLinePunct w:val="0"/>
        <w:autoSpaceDE/>
        <w:autoSpaceDN/>
        <w:bidi w:val="0"/>
        <w:spacing w:line="390" w:lineRule="exact"/>
        <w:ind w:left="2730" w:leftChars="1300" w:firstLine="0" w:firstLineChars="0"/>
        <w:textAlignment w:val="auto"/>
        <w:rPr>
          <w:bCs/>
          <w:sz w:val="24"/>
          <w:highlight w:val="none"/>
        </w:rPr>
      </w:pPr>
    </w:p>
    <w:p w14:paraId="3414778D">
      <w:pPr>
        <w:keepNext w:val="0"/>
        <w:keepLines w:val="0"/>
        <w:pageBreakBefore w:val="0"/>
        <w:widowControl w:val="0"/>
        <w:kinsoku/>
        <w:overflowPunct/>
        <w:topLinePunct w:val="0"/>
        <w:autoSpaceDE/>
        <w:autoSpaceDN/>
        <w:bidi w:val="0"/>
        <w:spacing w:line="390" w:lineRule="exact"/>
        <w:ind w:left="2730" w:leftChars="1300" w:firstLine="0" w:firstLineChars="0"/>
        <w:textAlignment w:val="auto"/>
        <w:rPr>
          <w:bCs/>
          <w:sz w:val="24"/>
          <w:highlight w:val="none"/>
        </w:rPr>
      </w:pPr>
      <w:r>
        <w:rPr>
          <w:bCs/>
          <w:sz w:val="24"/>
          <w:highlight w:val="none"/>
        </w:rPr>
        <w:t>供应商名称：</w:t>
      </w:r>
      <w:r>
        <w:rPr>
          <w:bCs/>
          <w:sz w:val="24"/>
          <w:highlight w:val="none"/>
          <w:u w:val="single"/>
        </w:rPr>
        <w:t xml:space="preserve">                      </w:t>
      </w:r>
      <w:r>
        <w:rPr>
          <w:bCs/>
          <w:sz w:val="24"/>
          <w:highlight w:val="none"/>
        </w:rPr>
        <w:t>（单位公章）</w:t>
      </w:r>
    </w:p>
    <w:p w14:paraId="103B2A4D">
      <w:pPr>
        <w:keepNext w:val="0"/>
        <w:keepLines w:val="0"/>
        <w:pageBreakBefore w:val="0"/>
        <w:widowControl w:val="0"/>
        <w:kinsoku/>
        <w:overflowPunct/>
        <w:topLinePunct w:val="0"/>
        <w:autoSpaceDE/>
        <w:autoSpaceDN/>
        <w:bidi w:val="0"/>
        <w:spacing w:line="390" w:lineRule="exact"/>
        <w:ind w:left="2730" w:leftChars="1300" w:firstLine="0" w:firstLineChars="0"/>
        <w:textAlignment w:val="auto"/>
        <w:rPr>
          <w:bCs/>
          <w:sz w:val="24"/>
          <w:highlight w:val="none"/>
        </w:rPr>
      </w:pPr>
      <w:r>
        <w:rPr>
          <w:rFonts w:hint="eastAsia"/>
          <w:bCs/>
          <w:sz w:val="24"/>
          <w:highlight w:val="none"/>
        </w:rPr>
        <w:t>法定代表人（或分/支公司负责人）</w:t>
      </w:r>
      <w:r>
        <w:rPr>
          <w:bCs/>
          <w:sz w:val="24"/>
          <w:highlight w:val="none"/>
        </w:rPr>
        <w:t>或授权代理人：</w:t>
      </w:r>
      <w:r>
        <w:rPr>
          <w:bCs/>
          <w:sz w:val="24"/>
          <w:highlight w:val="none"/>
          <w:u w:val="single"/>
        </w:rPr>
        <w:t xml:space="preserve">          </w:t>
      </w:r>
      <w:r>
        <w:rPr>
          <w:bCs/>
          <w:sz w:val="24"/>
          <w:highlight w:val="none"/>
        </w:rPr>
        <w:t>（签名或盖章）</w:t>
      </w:r>
    </w:p>
    <w:p w14:paraId="1D7B172F">
      <w:pPr>
        <w:keepNext w:val="0"/>
        <w:keepLines w:val="0"/>
        <w:pageBreakBefore w:val="0"/>
        <w:widowControl w:val="0"/>
        <w:kinsoku/>
        <w:overflowPunct/>
        <w:topLinePunct w:val="0"/>
        <w:autoSpaceDE/>
        <w:autoSpaceDN/>
        <w:bidi w:val="0"/>
        <w:spacing w:line="390" w:lineRule="exact"/>
        <w:ind w:left="2730" w:leftChars="1300" w:firstLine="0" w:firstLineChars="0"/>
        <w:textAlignment w:val="auto"/>
        <w:rPr>
          <w:b/>
          <w:bCs/>
          <w:sz w:val="28"/>
          <w:szCs w:val="28"/>
          <w:highlight w:val="none"/>
        </w:rPr>
      </w:pPr>
      <w:r>
        <w:rPr>
          <w:bCs/>
          <w:sz w:val="24"/>
          <w:highlight w:val="none"/>
        </w:rPr>
        <w:t>日期：</w:t>
      </w:r>
      <w:r>
        <w:rPr>
          <w:bCs/>
          <w:sz w:val="24"/>
          <w:highlight w:val="none"/>
          <w:u w:val="single"/>
        </w:rPr>
        <w:t xml:space="preserve">           </w:t>
      </w:r>
    </w:p>
    <w:p w14:paraId="4F2660BB">
      <w:pPr>
        <w:pStyle w:val="48"/>
        <w:ind w:firstLine="640"/>
        <w:jc w:val="left"/>
        <w:rPr>
          <w:rFonts w:hint="eastAsia"/>
          <w:b/>
          <w:bCs/>
          <w:sz w:val="28"/>
          <w:szCs w:val="28"/>
          <w:highlight w:val="none"/>
          <w:lang w:val="en-US" w:eastAsia="zh-CN"/>
        </w:rPr>
      </w:pPr>
      <w:r>
        <w:rPr>
          <w:rFonts w:hint="eastAsia"/>
          <w:b/>
          <w:bCs/>
          <w:sz w:val="28"/>
          <w:szCs w:val="28"/>
          <w:highlight w:val="none"/>
          <w:lang w:val="en-US" w:eastAsia="zh-CN"/>
        </w:rPr>
        <w:t>附表：</w:t>
      </w:r>
    </w:p>
    <w:tbl>
      <w:tblPr>
        <w:tblStyle w:val="49"/>
        <w:tblpPr w:leftFromText="180" w:rightFromText="180" w:vertAnchor="text" w:horzAnchor="margin" w:tblpXSpec="center" w:tblpY="254"/>
        <w:tblOverlap w:val="never"/>
        <w:tblW w:w="9469" w:type="dxa"/>
        <w:tblInd w:w="-9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544"/>
        <w:gridCol w:w="1350"/>
        <w:gridCol w:w="2292"/>
        <w:gridCol w:w="2446"/>
        <w:gridCol w:w="1304"/>
        <w:gridCol w:w="1533"/>
      </w:tblGrid>
      <w:tr w14:paraId="46B8E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49" w:hRule="atLeast"/>
        </w:trPr>
        <w:tc>
          <w:tcPr>
            <w:tcW w:w="9469" w:type="dxa"/>
            <w:gridSpan w:val="6"/>
            <w:noWrap w:val="0"/>
            <w:vAlign w:val="center"/>
          </w:tcPr>
          <w:p w14:paraId="1CEA3D4B">
            <w:pPr>
              <w:pStyle w:val="2"/>
              <w:spacing w:line="240" w:lineRule="auto"/>
              <w:jc w:val="both"/>
              <w:rPr>
                <w:rFonts w:hint="eastAsia" w:eastAsia="宋体"/>
                <w:b/>
                <w:bCs/>
                <w:sz w:val="36"/>
                <w:szCs w:val="36"/>
                <w:highlight w:val="none"/>
                <w:lang w:val="en-US" w:eastAsia="zh-CN"/>
              </w:rPr>
            </w:pPr>
            <w:r>
              <w:rPr>
                <w:rFonts w:hint="eastAsia" w:eastAsia="宋体"/>
                <w:b/>
                <w:bCs/>
                <w:sz w:val="36"/>
                <w:szCs w:val="36"/>
                <w:highlight w:val="none"/>
                <w:lang w:val="en-US" w:eastAsia="zh-CN"/>
              </w:rPr>
              <w:t>2026-2028年综保区冷链保险服务采购项目报价单</w:t>
            </w:r>
          </w:p>
        </w:tc>
      </w:tr>
      <w:tr w14:paraId="2E4A0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42" w:hRule="atLeast"/>
        </w:trPr>
        <w:tc>
          <w:tcPr>
            <w:tcW w:w="544" w:type="dxa"/>
            <w:noWrap w:val="0"/>
            <w:vAlign w:val="center"/>
          </w:tcPr>
          <w:p w14:paraId="6A24E8A1">
            <w:pPr>
              <w:keepNext w:val="0"/>
              <w:keepLines w:val="0"/>
              <w:pageBreakBefore w:val="0"/>
              <w:widowControl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b/>
                <w:bCs/>
                <w:color w:val="000000" w:themeColor="text1"/>
                <w:sz w:val="24"/>
                <w:szCs w:val="20"/>
                <w:highlight w:val="none"/>
                <w:lang w:val="en-US" w:eastAsia="zh-CN"/>
                <w14:textFill>
                  <w14:solidFill>
                    <w14:schemeClr w14:val="tx1"/>
                  </w14:solidFill>
                </w14:textFill>
              </w:rPr>
            </w:pPr>
            <w:r>
              <w:rPr>
                <w:rFonts w:hint="eastAsia" w:ascii="仿宋" w:hAnsi="仿宋" w:eastAsia="仿宋" w:cs="仿宋"/>
                <w:b/>
                <w:bCs/>
                <w:color w:val="000000" w:themeColor="text1"/>
                <w:sz w:val="24"/>
                <w:szCs w:val="20"/>
                <w:highlight w:val="none"/>
                <w:lang w:val="en-US" w:eastAsia="zh-CN"/>
                <w14:textFill>
                  <w14:solidFill>
                    <w14:schemeClr w14:val="tx1"/>
                  </w14:solidFill>
                </w14:textFill>
              </w:rPr>
              <w:t>序号</w:t>
            </w:r>
          </w:p>
        </w:tc>
        <w:tc>
          <w:tcPr>
            <w:tcW w:w="1350" w:type="dxa"/>
            <w:noWrap w:val="0"/>
            <w:vAlign w:val="center"/>
          </w:tcPr>
          <w:p w14:paraId="1C9A3458">
            <w:pPr>
              <w:keepNext w:val="0"/>
              <w:keepLines w:val="0"/>
              <w:pageBreakBefore w:val="0"/>
              <w:widowControl w:val="0"/>
              <w:kinsoku/>
              <w:wordWrap/>
              <w:overflowPunct/>
              <w:topLinePunct w:val="0"/>
              <w:autoSpaceDE/>
              <w:autoSpaceDN/>
              <w:bidi w:val="0"/>
              <w:adjustRightInd/>
              <w:snapToGrid/>
              <w:ind w:firstLine="0" w:firstLineChars="0"/>
              <w:jc w:val="center"/>
              <w:textAlignment w:val="center"/>
              <w:rPr>
                <w:rFonts w:ascii="仿宋" w:hAnsi="仿宋" w:eastAsia="仿宋" w:cs="仿宋"/>
                <w:b/>
                <w:bCs/>
                <w:color w:val="000000" w:themeColor="text1"/>
                <w:sz w:val="24"/>
                <w:szCs w:val="20"/>
                <w:highlight w:val="none"/>
                <w14:textFill>
                  <w14:solidFill>
                    <w14:schemeClr w14:val="tx1"/>
                  </w14:solidFill>
                </w14:textFill>
              </w:rPr>
            </w:pPr>
            <w:r>
              <w:rPr>
                <w:rFonts w:hint="eastAsia" w:ascii="仿宋" w:hAnsi="仿宋" w:eastAsia="仿宋" w:cs="仿宋"/>
                <w:b/>
                <w:bCs/>
                <w:color w:val="000000" w:themeColor="text1"/>
                <w:sz w:val="24"/>
                <w:szCs w:val="20"/>
                <w:highlight w:val="none"/>
                <w14:textFill>
                  <w14:solidFill>
                    <w14:schemeClr w14:val="tx1"/>
                  </w14:solidFill>
                </w14:textFill>
              </w:rPr>
              <w:t>险种</w:t>
            </w:r>
          </w:p>
        </w:tc>
        <w:tc>
          <w:tcPr>
            <w:tcW w:w="2292" w:type="dxa"/>
            <w:noWrap w:val="0"/>
            <w:vAlign w:val="center"/>
          </w:tcPr>
          <w:p w14:paraId="141287A5">
            <w:pPr>
              <w:keepNext w:val="0"/>
              <w:keepLines w:val="0"/>
              <w:pageBreakBefore w:val="0"/>
              <w:widowControl w:val="0"/>
              <w:kinsoku/>
              <w:wordWrap/>
              <w:overflowPunct/>
              <w:topLinePunct w:val="0"/>
              <w:autoSpaceDE/>
              <w:autoSpaceDN/>
              <w:bidi w:val="0"/>
              <w:adjustRightInd/>
              <w:snapToGrid/>
              <w:ind w:firstLine="0" w:firstLineChars="0"/>
              <w:jc w:val="center"/>
              <w:textAlignment w:val="center"/>
              <w:rPr>
                <w:rFonts w:ascii="仿宋" w:hAnsi="仿宋" w:eastAsia="仿宋" w:cs="仿宋"/>
                <w:b/>
                <w:bCs/>
                <w:color w:val="000000" w:themeColor="text1"/>
                <w:sz w:val="24"/>
                <w:szCs w:val="20"/>
                <w:highlight w:val="none"/>
                <w14:textFill>
                  <w14:solidFill>
                    <w14:schemeClr w14:val="tx1"/>
                  </w14:solidFill>
                </w14:textFill>
              </w:rPr>
            </w:pPr>
            <w:r>
              <w:rPr>
                <w:rFonts w:hint="eastAsia" w:ascii="仿宋" w:hAnsi="仿宋" w:eastAsia="仿宋" w:cs="仿宋"/>
                <w:b/>
                <w:bCs/>
                <w:color w:val="000000" w:themeColor="text1"/>
                <w:sz w:val="24"/>
                <w:szCs w:val="20"/>
                <w:highlight w:val="none"/>
                <w14:textFill>
                  <w14:solidFill>
                    <w14:schemeClr w14:val="tx1"/>
                  </w14:solidFill>
                </w14:textFill>
              </w:rPr>
              <w:t>保险金额</w:t>
            </w:r>
          </w:p>
        </w:tc>
        <w:tc>
          <w:tcPr>
            <w:tcW w:w="2446" w:type="dxa"/>
            <w:noWrap w:val="0"/>
            <w:vAlign w:val="center"/>
          </w:tcPr>
          <w:p w14:paraId="09E068DE">
            <w:pPr>
              <w:keepNext w:val="0"/>
              <w:keepLines w:val="0"/>
              <w:pageBreakBefore w:val="0"/>
              <w:widowControl w:val="0"/>
              <w:kinsoku/>
              <w:wordWrap/>
              <w:overflowPunct/>
              <w:topLinePunct w:val="0"/>
              <w:autoSpaceDE/>
              <w:autoSpaceDN/>
              <w:bidi w:val="0"/>
              <w:adjustRightInd/>
              <w:snapToGrid/>
              <w:ind w:firstLine="0" w:firstLineChars="0"/>
              <w:jc w:val="center"/>
              <w:textAlignment w:val="center"/>
              <w:rPr>
                <w:rFonts w:ascii="仿宋" w:hAnsi="仿宋" w:eastAsia="仿宋" w:cs="仿宋"/>
                <w:b/>
                <w:bCs/>
                <w:color w:val="000000" w:themeColor="text1"/>
                <w:sz w:val="24"/>
                <w:szCs w:val="20"/>
                <w:highlight w:val="none"/>
                <w14:textFill>
                  <w14:solidFill>
                    <w14:schemeClr w14:val="tx1"/>
                  </w14:solidFill>
                </w14:textFill>
              </w:rPr>
            </w:pPr>
            <w:r>
              <w:rPr>
                <w:rFonts w:hint="eastAsia" w:ascii="仿宋" w:hAnsi="仿宋" w:eastAsia="仿宋" w:cs="仿宋"/>
                <w:b/>
                <w:bCs/>
                <w:color w:val="000000" w:themeColor="text1"/>
                <w:sz w:val="24"/>
                <w:szCs w:val="20"/>
                <w:highlight w:val="none"/>
                <w14:textFill>
                  <w14:solidFill>
                    <w14:schemeClr w14:val="tx1"/>
                  </w14:solidFill>
                </w14:textFill>
              </w:rPr>
              <w:t>免赔额</w:t>
            </w:r>
          </w:p>
        </w:tc>
        <w:tc>
          <w:tcPr>
            <w:tcW w:w="1304" w:type="dxa"/>
            <w:noWrap w:val="0"/>
            <w:vAlign w:val="center"/>
          </w:tcPr>
          <w:p w14:paraId="3A6F8631">
            <w:pPr>
              <w:keepNext w:val="0"/>
              <w:keepLines w:val="0"/>
              <w:pageBreakBefore w:val="0"/>
              <w:widowControl w:val="0"/>
              <w:kinsoku/>
              <w:wordWrap/>
              <w:overflowPunct/>
              <w:topLinePunct w:val="0"/>
              <w:autoSpaceDE/>
              <w:autoSpaceDN/>
              <w:bidi w:val="0"/>
              <w:adjustRightInd/>
              <w:snapToGrid/>
              <w:ind w:firstLine="0" w:firstLineChars="0"/>
              <w:jc w:val="center"/>
              <w:textAlignment w:val="center"/>
              <w:rPr>
                <w:rFonts w:hint="default" w:ascii="仿宋" w:hAnsi="仿宋" w:eastAsia="仿宋" w:cs="仿宋"/>
                <w:b/>
                <w:bCs/>
                <w:color w:val="000000" w:themeColor="text1"/>
                <w:sz w:val="24"/>
                <w:szCs w:val="20"/>
                <w:highlight w:val="none"/>
                <w:lang w:val="en-US" w:eastAsia="zh-CN"/>
                <w14:textFill>
                  <w14:solidFill>
                    <w14:schemeClr w14:val="tx1"/>
                  </w14:solidFill>
                </w14:textFill>
              </w:rPr>
            </w:pPr>
            <w:r>
              <w:rPr>
                <w:rFonts w:hint="eastAsia" w:ascii="仿宋" w:hAnsi="仿宋" w:eastAsia="仿宋" w:cs="仿宋"/>
                <w:b/>
                <w:bCs/>
                <w:color w:val="000000" w:themeColor="text1"/>
                <w:sz w:val="24"/>
                <w:szCs w:val="20"/>
                <w:highlight w:val="none"/>
                <w:lang w:val="en-US" w:eastAsia="zh-CN"/>
                <w14:textFill>
                  <w14:solidFill>
                    <w14:schemeClr w14:val="tx1"/>
                  </w14:solidFill>
                </w14:textFill>
              </w:rPr>
              <w:t>控制价</w:t>
            </w:r>
          </w:p>
          <w:p w14:paraId="7CAADA96">
            <w:pPr>
              <w:keepNext w:val="0"/>
              <w:keepLines w:val="0"/>
              <w:pageBreakBefore w:val="0"/>
              <w:widowControl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b/>
                <w:bCs/>
                <w:color w:val="000000" w:themeColor="text1"/>
                <w:sz w:val="24"/>
                <w:szCs w:val="20"/>
                <w:highlight w:val="none"/>
                <w:lang w:val="en-US" w:eastAsia="zh-CN"/>
                <w14:textFill>
                  <w14:solidFill>
                    <w14:schemeClr w14:val="tx1"/>
                  </w14:solidFill>
                </w14:textFill>
              </w:rPr>
            </w:pPr>
            <w:r>
              <w:rPr>
                <w:rFonts w:hint="eastAsia" w:ascii="仿宋" w:hAnsi="仿宋" w:eastAsia="仿宋" w:cs="仿宋"/>
                <w:b/>
                <w:bCs/>
                <w:color w:val="000000" w:themeColor="text1"/>
                <w:sz w:val="24"/>
                <w:szCs w:val="20"/>
                <w:highlight w:val="none"/>
                <w:lang w:val="en-US" w:eastAsia="zh-CN"/>
                <w14:textFill>
                  <w14:solidFill>
                    <w14:schemeClr w14:val="tx1"/>
                  </w14:solidFill>
                </w14:textFill>
              </w:rPr>
              <w:t>（元/年）</w:t>
            </w:r>
          </w:p>
        </w:tc>
        <w:tc>
          <w:tcPr>
            <w:tcW w:w="1533" w:type="dxa"/>
            <w:noWrap w:val="0"/>
            <w:vAlign w:val="center"/>
          </w:tcPr>
          <w:p w14:paraId="5276CBED">
            <w:pPr>
              <w:keepNext w:val="0"/>
              <w:keepLines w:val="0"/>
              <w:pageBreakBefore w:val="0"/>
              <w:widowControl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b/>
                <w:bCs/>
                <w:color w:val="000000" w:themeColor="text1"/>
                <w:sz w:val="24"/>
                <w:szCs w:val="20"/>
                <w:highlight w:val="none"/>
                <w:lang w:val="en-US" w:eastAsia="zh-CN"/>
                <w14:textFill>
                  <w14:solidFill>
                    <w14:schemeClr w14:val="tx1"/>
                  </w14:solidFill>
                </w14:textFill>
              </w:rPr>
            </w:pPr>
            <w:r>
              <w:rPr>
                <w:rFonts w:hint="eastAsia" w:ascii="仿宋" w:hAnsi="仿宋" w:eastAsia="仿宋" w:cs="仿宋"/>
                <w:b/>
                <w:bCs/>
                <w:color w:val="000000" w:themeColor="text1"/>
                <w:sz w:val="24"/>
                <w:szCs w:val="20"/>
                <w:highlight w:val="none"/>
                <w:lang w:val="en-US" w:eastAsia="zh-CN"/>
                <w14:textFill>
                  <w14:solidFill>
                    <w14:schemeClr w14:val="tx1"/>
                  </w14:solidFill>
                </w14:textFill>
              </w:rPr>
              <w:t>保费报价</w:t>
            </w:r>
          </w:p>
          <w:p w14:paraId="5CF865CF">
            <w:pPr>
              <w:keepNext w:val="0"/>
              <w:keepLines w:val="0"/>
              <w:pageBreakBefore w:val="0"/>
              <w:widowControl w:val="0"/>
              <w:kinsoku/>
              <w:wordWrap/>
              <w:overflowPunct/>
              <w:topLinePunct w:val="0"/>
              <w:autoSpaceDE/>
              <w:autoSpaceDN/>
              <w:bidi w:val="0"/>
              <w:adjustRightInd/>
              <w:snapToGrid/>
              <w:ind w:firstLine="0" w:firstLineChars="0"/>
              <w:jc w:val="center"/>
              <w:textAlignment w:val="center"/>
              <w:rPr>
                <w:rFonts w:hint="default" w:ascii="仿宋" w:hAnsi="仿宋" w:eastAsia="仿宋" w:cs="仿宋"/>
                <w:b/>
                <w:bCs/>
                <w:color w:val="000000" w:themeColor="text1"/>
                <w:sz w:val="24"/>
                <w:szCs w:val="20"/>
                <w:highlight w:val="none"/>
                <w:lang w:val="en-US" w:eastAsia="zh-CN"/>
                <w14:textFill>
                  <w14:solidFill>
                    <w14:schemeClr w14:val="tx1"/>
                  </w14:solidFill>
                </w14:textFill>
              </w:rPr>
            </w:pPr>
            <w:r>
              <w:rPr>
                <w:rFonts w:hint="eastAsia" w:ascii="仿宋" w:hAnsi="仿宋" w:eastAsia="仿宋" w:cs="仿宋"/>
                <w:b/>
                <w:bCs/>
                <w:color w:val="000000" w:themeColor="text1"/>
                <w:sz w:val="24"/>
                <w:szCs w:val="20"/>
                <w:highlight w:val="none"/>
                <w:lang w:val="en-US" w:eastAsia="zh-CN"/>
                <w14:textFill>
                  <w14:solidFill>
                    <w14:schemeClr w14:val="tx1"/>
                  </w14:solidFill>
                </w14:textFill>
              </w:rPr>
              <w:t>（元/年）</w:t>
            </w:r>
          </w:p>
        </w:tc>
      </w:tr>
      <w:tr w14:paraId="4C02C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394" w:hRule="atLeast"/>
        </w:trPr>
        <w:tc>
          <w:tcPr>
            <w:tcW w:w="544" w:type="dxa"/>
            <w:noWrap w:val="0"/>
            <w:vAlign w:val="center"/>
          </w:tcPr>
          <w:p w14:paraId="68340B3F">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方正仿宋_GBK" w:cs="Times New Roman"/>
                <w:b/>
                <w:bCs/>
                <w:color w:val="000000" w:themeColor="text1"/>
                <w:sz w:val="24"/>
                <w:szCs w:val="22"/>
                <w:highlight w:val="none"/>
                <w:lang w:val="en-US" w:eastAsia="zh-CN"/>
                <w14:textFill>
                  <w14:solidFill>
                    <w14:schemeClr w14:val="tx1"/>
                  </w14:solidFill>
                </w14:textFill>
              </w:rPr>
            </w:pPr>
            <w:r>
              <w:rPr>
                <w:rFonts w:hint="eastAsia" w:eastAsia="方正仿宋_GBK" w:cs="Times New Roman"/>
                <w:b/>
                <w:bCs/>
                <w:color w:val="000000" w:themeColor="text1"/>
                <w:sz w:val="24"/>
                <w:szCs w:val="22"/>
                <w:highlight w:val="none"/>
                <w:lang w:val="en-US" w:eastAsia="zh-CN"/>
                <w14:textFill>
                  <w14:solidFill>
                    <w14:schemeClr w14:val="tx1"/>
                  </w14:solidFill>
                </w14:textFill>
              </w:rPr>
              <w:t>1</w:t>
            </w:r>
          </w:p>
        </w:tc>
        <w:tc>
          <w:tcPr>
            <w:tcW w:w="1350" w:type="dxa"/>
            <w:noWrap w:val="0"/>
            <w:vAlign w:val="center"/>
          </w:tcPr>
          <w:p w14:paraId="1A08A88B">
            <w:pPr>
              <w:keepNext w:val="0"/>
              <w:keepLines w:val="0"/>
              <w:pageBreakBefore w:val="0"/>
              <w:widowControl w:val="0"/>
              <w:kinsoku/>
              <w:wordWrap/>
              <w:overflowPunct/>
              <w:topLinePunct w:val="0"/>
              <w:autoSpaceDE/>
              <w:autoSpaceDN/>
              <w:bidi w:val="0"/>
              <w:adjustRightInd/>
              <w:snapToGrid/>
              <w:spacing w:line="300" w:lineRule="exact"/>
              <w:ind w:firstLine="0" w:firstLineChars="0"/>
              <w:textAlignment w:val="auto"/>
              <w:rPr>
                <w:rFonts w:hint="eastAsia" w:ascii="Times New Roman" w:hAnsi="Times New Roman" w:eastAsia="方正仿宋_GBK" w:cs="Times New Roman"/>
                <w:b/>
                <w:bCs/>
                <w:color w:val="000000" w:themeColor="text1"/>
                <w:sz w:val="24"/>
                <w:szCs w:val="22"/>
                <w:highlight w:val="none"/>
                <w:lang w:eastAsia="zh-CN"/>
                <w14:textFill>
                  <w14:solidFill>
                    <w14:schemeClr w14:val="tx1"/>
                  </w14:solidFill>
                </w14:textFill>
              </w:rPr>
            </w:pPr>
            <w:r>
              <w:rPr>
                <w:rFonts w:hint="eastAsia" w:ascii="Times New Roman" w:hAnsi="Times New Roman" w:eastAsia="方正仿宋_GBK" w:cs="Times New Roman"/>
                <w:b/>
                <w:bCs/>
                <w:color w:val="000000" w:themeColor="text1"/>
                <w:sz w:val="24"/>
                <w:szCs w:val="22"/>
                <w:highlight w:val="none"/>
                <w:lang w:val="en-US" w:eastAsia="zh-CN"/>
                <w14:textFill>
                  <w14:solidFill>
                    <w14:schemeClr w14:val="tx1"/>
                  </w14:solidFill>
                </w14:textFill>
              </w:rPr>
              <w:t>财产一切险（含附属设备设施、代保管财产）</w:t>
            </w:r>
          </w:p>
        </w:tc>
        <w:tc>
          <w:tcPr>
            <w:tcW w:w="2292" w:type="dxa"/>
            <w:noWrap w:val="0"/>
            <w:vAlign w:val="center"/>
          </w:tcPr>
          <w:p w14:paraId="463C7F5A">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ascii="Times New Roman" w:hAnsi="Times New Roman" w:eastAsia="方正仿宋_GBK" w:cs="Times New Roman"/>
                <w:color w:val="000000" w:themeColor="text1"/>
                <w:sz w:val="22"/>
                <w:szCs w:val="21"/>
                <w:highlight w:val="none"/>
                <w14:textFill>
                  <w14:solidFill>
                    <w14:schemeClr w14:val="tx1"/>
                  </w14:solidFill>
                </w14:textFill>
              </w:rPr>
            </w:pPr>
            <w:r>
              <w:rPr>
                <w:rFonts w:hint="eastAsia" w:ascii="Times New Roman" w:hAnsi="Times New Roman" w:eastAsia="方正仿宋_GBK" w:cs="Times New Roman"/>
                <w:color w:val="000000" w:themeColor="text1"/>
                <w:sz w:val="22"/>
                <w:szCs w:val="21"/>
                <w:highlight w:val="none"/>
                <w:lang w:val="en-US" w:eastAsia="zh-CN"/>
                <w14:textFill>
                  <w14:solidFill>
                    <w14:schemeClr w14:val="tx1"/>
                  </w14:solidFill>
                </w14:textFill>
              </w:rPr>
              <w:t>约为45120.62万元（以实际投保时为准）</w:t>
            </w:r>
          </w:p>
        </w:tc>
        <w:tc>
          <w:tcPr>
            <w:tcW w:w="2446" w:type="dxa"/>
            <w:noWrap w:val="0"/>
            <w:vAlign w:val="center"/>
          </w:tcPr>
          <w:p w14:paraId="21D7636C">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default"/>
                <w:color w:val="000000" w:themeColor="text1"/>
                <w:sz w:val="20"/>
                <w:szCs w:val="22"/>
                <w:highlight w:val="none"/>
                <w:lang w:val="en-US" w:eastAsia="zh-CN"/>
                <w14:textFill>
                  <w14:solidFill>
                    <w14:schemeClr w14:val="tx1"/>
                  </w14:solidFill>
                </w14:textFill>
              </w:rPr>
            </w:pPr>
            <w:r>
              <w:rPr>
                <w:rFonts w:hint="eastAsia" w:ascii="Times New Roman" w:hAnsi="Times New Roman" w:eastAsia="方正仿宋_GBK" w:cs="Times New Roman"/>
                <w:color w:val="000000" w:themeColor="text1"/>
                <w:sz w:val="22"/>
                <w:szCs w:val="21"/>
                <w:highlight w:val="none"/>
                <w:lang w:val="en-US" w:eastAsia="zh-CN"/>
                <w14:textFill>
                  <w14:solidFill>
                    <w14:schemeClr w14:val="tx1"/>
                  </w14:solidFill>
                </w14:textFill>
              </w:rPr>
              <w:t>每次事故免赔2000元或损失金额的10%，以高者为准。</w:t>
            </w:r>
          </w:p>
        </w:tc>
        <w:tc>
          <w:tcPr>
            <w:tcW w:w="1304" w:type="dxa"/>
            <w:noWrap w:val="0"/>
            <w:vAlign w:val="center"/>
          </w:tcPr>
          <w:p w14:paraId="7BC65EF2">
            <w:pPr>
              <w:ind w:firstLine="0" w:firstLineChars="0"/>
              <w:jc w:val="center"/>
              <w:rPr>
                <w:rFonts w:hint="default" w:ascii="仿宋" w:hAnsi="仿宋" w:eastAsia="仿宋" w:cs="仿宋"/>
                <w:color w:val="000000" w:themeColor="text1"/>
                <w:sz w:val="24"/>
                <w:szCs w:val="20"/>
                <w:highlight w:val="none"/>
                <w:lang w:val="en-US" w:eastAsia="zh-CN"/>
                <w14:textFill>
                  <w14:solidFill>
                    <w14:schemeClr w14:val="tx1"/>
                  </w14:solidFill>
                </w14:textFill>
              </w:rPr>
            </w:pPr>
            <w:r>
              <w:rPr>
                <w:rFonts w:hint="eastAsia" w:ascii="仿宋" w:hAnsi="仿宋" w:eastAsia="仿宋" w:cs="仿宋"/>
                <w:color w:val="000000" w:themeColor="text1"/>
                <w:sz w:val="24"/>
                <w:szCs w:val="20"/>
                <w:highlight w:val="none"/>
                <w:lang w:val="en-US" w:eastAsia="zh-CN"/>
                <w14:textFill>
                  <w14:solidFill>
                    <w14:schemeClr w14:val="tx1"/>
                  </w14:solidFill>
                </w14:textFill>
              </w:rPr>
              <w:t>140000</w:t>
            </w:r>
          </w:p>
        </w:tc>
        <w:tc>
          <w:tcPr>
            <w:tcW w:w="1533" w:type="dxa"/>
            <w:noWrap w:val="0"/>
            <w:vAlign w:val="center"/>
          </w:tcPr>
          <w:p w14:paraId="4BAE1E72">
            <w:pPr>
              <w:ind w:firstLine="0" w:firstLineChars="0"/>
              <w:jc w:val="both"/>
              <w:rPr>
                <w:rFonts w:hint="default" w:ascii="仿宋" w:hAnsi="仿宋" w:eastAsia="仿宋" w:cs="仿宋"/>
                <w:color w:val="000000" w:themeColor="text1"/>
                <w:sz w:val="28"/>
                <w:szCs w:val="21"/>
                <w:highlight w:val="none"/>
                <w:lang w:val="en-US" w:eastAsia="zh-CN"/>
                <w14:textFill>
                  <w14:solidFill>
                    <w14:schemeClr w14:val="tx1"/>
                  </w14:solidFill>
                </w14:textFill>
              </w:rPr>
            </w:pPr>
          </w:p>
        </w:tc>
      </w:tr>
      <w:tr w14:paraId="01974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2" w:hRule="atLeast"/>
        </w:trPr>
        <w:tc>
          <w:tcPr>
            <w:tcW w:w="544" w:type="dxa"/>
            <w:noWrap w:val="0"/>
            <w:vAlign w:val="center"/>
          </w:tcPr>
          <w:p w14:paraId="09EB271C">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方正仿宋_GBK" w:cs="Times New Roman"/>
                <w:b/>
                <w:bCs/>
                <w:color w:val="000000" w:themeColor="text1"/>
                <w:sz w:val="24"/>
                <w:szCs w:val="22"/>
                <w:highlight w:val="none"/>
                <w:lang w:val="en-US" w:eastAsia="zh-CN"/>
                <w14:textFill>
                  <w14:solidFill>
                    <w14:schemeClr w14:val="tx1"/>
                  </w14:solidFill>
                </w14:textFill>
              </w:rPr>
            </w:pPr>
            <w:r>
              <w:rPr>
                <w:rFonts w:hint="eastAsia" w:eastAsia="方正仿宋_GBK" w:cs="Times New Roman"/>
                <w:b/>
                <w:bCs/>
                <w:color w:val="000000" w:themeColor="text1"/>
                <w:sz w:val="24"/>
                <w:szCs w:val="22"/>
                <w:highlight w:val="none"/>
                <w:lang w:val="en-US" w:eastAsia="zh-CN"/>
                <w14:textFill>
                  <w14:solidFill>
                    <w14:schemeClr w14:val="tx1"/>
                  </w14:solidFill>
                </w14:textFill>
              </w:rPr>
              <w:t>2</w:t>
            </w:r>
          </w:p>
        </w:tc>
        <w:tc>
          <w:tcPr>
            <w:tcW w:w="1350" w:type="dxa"/>
            <w:noWrap w:val="0"/>
            <w:vAlign w:val="center"/>
          </w:tcPr>
          <w:p w14:paraId="1EC33C83">
            <w:pPr>
              <w:keepNext w:val="0"/>
              <w:keepLines w:val="0"/>
              <w:pageBreakBefore w:val="0"/>
              <w:widowControl w:val="0"/>
              <w:kinsoku/>
              <w:wordWrap/>
              <w:overflowPunct/>
              <w:topLinePunct w:val="0"/>
              <w:autoSpaceDE/>
              <w:autoSpaceDN/>
              <w:bidi w:val="0"/>
              <w:adjustRightInd/>
              <w:snapToGrid/>
              <w:spacing w:line="300" w:lineRule="exact"/>
              <w:ind w:firstLine="0" w:firstLineChars="0"/>
              <w:textAlignment w:val="auto"/>
              <w:rPr>
                <w:rFonts w:hint="default" w:ascii="Times New Roman" w:hAnsi="Times New Roman" w:eastAsia="方正仿宋_GBK" w:cs="Times New Roman"/>
                <w:b/>
                <w:bCs/>
                <w:color w:val="000000" w:themeColor="text1"/>
                <w:sz w:val="24"/>
                <w:szCs w:val="22"/>
                <w:highlight w:val="none"/>
                <w:lang w:val="en-US" w:eastAsia="zh-CN"/>
                <w14:textFill>
                  <w14:solidFill>
                    <w14:schemeClr w14:val="tx1"/>
                  </w14:solidFill>
                </w14:textFill>
              </w:rPr>
            </w:pPr>
            <w:r>
              <w:rPr>
                <w:rFonts w:hint="eastAsia" w:ascii="Times New Roman" w:hAnsi="Times New Roman" w:eastAsia="方正仿宋_GBK" w:cs="Times New Roman"/>
                <w:b/>
                <w:bCs/>
                <w:color w:val="000000" w:themeColor="text1"/>
                <w:sz w:val="24"/>
                <w:szCs w:val="22"/>
                <w:highlight w:val="none"/>
                <w:lang w:val="en-US" w:eastAsia="zh-CN"/>
                <w14:textFill>
                  <w14:solidFill>
                    <w14:schemeClr w14:val="tx1"/>
                  </w14:solidFill>
                </w14:textFill>
              </w:rPr>
              <w:t>安全生产责任险</w:t>
            </w:r>
          </w:p>
        </w:tc>
        <w:tc>
          <w:tcPr>
            <w:tcW w:w="2292" w:type="dxa"/>
            <w:noWrap w:val="0"/>
            <w:vAlign w:val="center"/>
          </w:tcPr>
          <w:p w14:paraId="213A5230">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eastAsia" w:ascii="Times New Roman" w:hAnsi="Times New Roman" w:eastAsia="方正仿宋_GBK" w:cs="Times New Roman"/>
                <w:color w:val="000000" w:themeColor="text1"/>
                <w:sz w:val="22"/>
                <w:szCs w:val="21"/>
                <w:highlight w:val="none"/>
                <w:lang w:val="en-US" w:eastAsia="zh-CN"/>
                <w14:textFill>
                  <w14:solidFill>
                    <w14:schemeClr w14:val="tx1"/>
                  </w14:solidFill>
                </w14:textFill>
              </w:rPr>
            </w:pPr>
            <w:r>
              <w:rPr>
                <w:rFonts w:hint="eastAsia" w:ascii="Times New Roman" w:hAnsi="Times New Roman" w:eastAsia="方正仿宋_GBK" w:cs="Times New Roman"/>
                <w:color w:val="000000" w:themeColor="text1"/>
                <w:sz w:val="22"/>
                <w:szCs w:val="21"/>
                <w:highlight w:val="none"/>
                <w:lang w:val="en-US" w:eastAsia="zh-CN"/>
                <w14:textFill>
                  <w14:solidFill>
                    <w14:schemeClr w14:val="tx1"/>
                  </w14:solidFill>
                </w14:textFill>
              </w:rPr>
              <w:t>共约20人</w:t>
            </w:r>
          </w:p>
          <w:p w14:paraId="0ACB656B">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ascii="Times New Roman" w:hAnsi="Times New Roman" w:eastAsia="方正仿宋_GBK" w:cs="Times New Roman"/>
                <w:color w:val="000000" w:themeColor="text1"/>
                <w:sz w:val="22"/>
                <w:szCs w:val="21"/>
                <w:highlight w:val="none"/>
                <w14:textFill>
                  <w14:solidFill>
                    <w14:schemeClr w14:val="tx1"/>
                  </w14:solidFill>
                </w14:textFill>
              </w:rPr>
            </w:pPr>
            <w:r>
              <w:rPr>
                <w:rFonts w:hint="eastAsia" w:ascii="Times New Roman" w:hAnsi="Times New Roman" w:eastAsia="方正仿宋_GBK" w:cs="Times New Roman"/>
                <w:color w:val="000000" w:themeColor="text1"/>
                <w:sz w:val="22"/>
                <w:szCs w:val="21"/>
                <w:highlight w:val="none"/>
                <w:lang w:val="en-US" w:eastAsia="zh-CN"/>
                <w14:textFill>
                  <w14:solidFill>
                    <w14:schemeClr w14:val="tx1"/>
                  </w14:solidFill>
                </w14:textFill>
              </w:rPr>
              <w:t>（以实际投保名单为准）</w:t>
            </w:r>
            <w:r>
              <w:rPr>
                <w:rFonts w:hint="default" w:ascii="Times New Roman" w:hAnsi="Times New Roman" w:eastAsia="方正仿宋_GBK" w:cs="Times New Roman"/>
                <w:color w:val="000000" w:themeColor="text1"/>
                <w:sz w:val="22"/>
                <w:szCs w:val="21"/>
                <w:highlight w:val="none"/>
                <w:lang w:val="en-US" w:eastAsia="zh-CN"/>
                <w14:textFill>
                  <w14:solidFill>
                    <w14:schemeClr w14:val="tx1"/>
                  </w14:solidFill>
                </w14:textFill>
              </w:rPr>
              <w:t>每人每次事故赔偿限额:死亡伤残150万,医疗10万</w:t>
            </w:r>
            <w:r>
              <w:rPr>
                <w:rFonts w:hint="eastAsia" w:eastAsia="方正仿宋_GBK" w:cs="Times New Roman"/>
                <w:color w:val="000000" w:themeColor="text1"/>
                <w:sz w:val="22"/>
                <w:szCs w:val="21"/>
                <w:highlight w:val="none"/>
                <w:lang w:val="en-US" w:eastAsia="zh-CN"/>
                <w14:textFill>
                  <w14:solidFill>
                    <w14:schemeClr w14:val="tx1"/>
                  </w14:solidFill>
                </w14:textFill>
              </w:rPr>
              <w:t>（</w:t>
            </w:r>
            <w:r>
              <w:rPr>
                <w:rFonts w:hint="default" w:ascii="Times New Roman" w:hAnsi="Times New Roman" w:eastAsia="方正仿宋_GBK" w:cs="Times New Roman"/>
                <w:color w:val="000000" w:themeColor="text1"/>
                <w:sz w:val="22"/>
                <w:szCs w:val="21"/>
                <w:highlight w:val="none"/>
                <w:lang w:val="en-US" w:eastAsia="zh-CN"/>
                <w14:textFill>
                  <w14:solidFill>
                    <w14:schemeClr w14:val="tx1"/>
                  </w14:solidFill>
                </w14:textFill>
              </w:rPr>
              <w:t>涵盖劳务派遣人员</w:t>
            </w:r>
            <w:r>
              <w:rPr>
                <w:rFonts w:hint="eastAsia" w:eastAsia="方正仿宋_GBK" w:cs="Times New Roman"/>
                <w:color w:val="000000" w:themeColor="text1"/>
                <w:sz w:val="22"/>
                <w:szCs w:val="21"/>
                <w:highlight w:val="none"/>
                <w:lang w:val="en-US" w:eastAsia="zh-CN"/>
                <w14:textFill>
                  <w14:solidFill>
                    <w14:schemeClr w14:val="tx1"/>
                  </w14:solidFill>
                </w14:textFill>
              </w:rPr>
              <w:t>）</w:t>
            </w:r>
          </w:p>
        </w:tc>
        <w:tc>
          <w:tcPr>
            <w:tcW w:w="2446" w:type="dxa"/>
            <w:noWrap w:val="0"/>
            <w:vAlign w:val="center"/>
          </w:tcPr>
          <w:p w14:paraId="2856AC37">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default" w:ascii="Times New Roman" w:hAnsi="Times New Roman" w:eastAsia="方正仿宋_GBK" w:cs="Times New Roman"/>
                <w:color w:val="000000" w:themeColor="text1"/>
                <w:sz w:val="22"/>
                <w:szCs w:val="21"/>
                <w:highlight w:val="none"/>
                <w:lang w:val="en-US" w:eastAsia="zh-CN"/>
                <w14:textFill>
                  <w14:solidFill>
                    <w14:schemeClr w14:val="tx1"/>
                  </w14:solidFill>
                </w14:textFill>
              </w:rPr>
            </w:pPr>
            <w:r>
              <w:rPr>
                <w:rFonts w:hint="default" w:ascii="Times New Roman" w:hAnsi="Times New Roman" w:eastAsia="方正仿宋_GBK" w:cs="Times New Roman"/>
                <w:color w:val="000000" w:themeColor="text1"/>
                <w:sz w:val="22"/>
                <w:szCs w:val="21"/>
                <w:highlight w:val="none"/>
                <w14:textFill>
                  <w14:solidFill>
                    <w14:schemeClr w14:val="tx1"/>
                  </w14:solidFill>
                </w14:textFill>
              </w:rPr>
              <w:t>医疗费用每次事故免赔200元；每人误工费100元/天，免赔3天，每次事故最高给付60天，全年最高给付180天。</w:t>
            </w:r>
          </w:p>
        </w:tc>
        <w:tc>
          <w:tcPr>
            <w:tcW w:w="1304" w:type="dxa"/>
            <w:noWrap w:val="0"/>
            <w:vAlign w:val="center"/>
          </w:tcPr>
          <w:p w14:paraId="356A8953">
            <w:pPr>
              <w:ind w:firstLine="0" w:firstLineChars="0"/>
              <w:jc w:val="center"/>
              <w:textAlignment w:val="center"/>
              <w:rPr>
                <w:rFonts w:hint="default" w:ascii="仿宋" w:hAnsi="仿宋" w:eastAsia="仿宋" w:cs="仿宋"/>
                <w:color w:val="000000" w:themeColor="text1"/>
                <w:sz w:val="24"/>
                <w:szCs w:val="20"/>
                <w:highlight w:val="none"/>
                <w:lang w:val="en-US" w:eastAsia="zh-CN"/>
                <w14:textFill>
                  <w14:solidFill>
                    <w14:schemeClr w14:val="tx1"/>
                  </w14:solidFill>
                </w14:textFill>
              </w:rPr>
            </w:pPr>
            <w:r>
              <w:rPr>
                <w:rFonts w:hint="eastAsia" w:ascii="仿宋" w:hAnsi="仿宋" w:eastAsia="仿宋" w:cs="仿宋"/>
                <w:color w:val="000000" w:themeColor="text1"/>
                <w:sz w:val="24"/>
                <w:szCs w:val="20"/>
                <w:highlight w:val="none"/>
                <w:lang w:val="en-US" w:eastAsia="zh-CN"/>
                <w14:textFill>
                  <w14:solidFill>
                    <w14:schemeClr w14:val="tx1"/>
                  </w14:solidFill>
                </w14:textFill>
              </w:rPr>
              <w:t>20000</w:t>
            </w:r>
          </w:p>
        </w:tc>
        <w:tc>
          <w:tcPr>
            <w:tcW w:w="1533" w:type="dxa"/>
            <w:noWrap w:val="0"/>
            <w:vAlign w:val="center"/>
          </w:tcPr>
          <w:p w14:paraId="7E0B8D4B">
            <w:pPr>
              <w:jc w:val="both"/>
              <w:textAlignment w:val="center"/>
              <w:rPr>
                <w:rFonts w:ascii="仿宋" w:hAnsi="仿宋" w:eastAsia="仿宋" w:cs="仿宋"/>
                <w:color w:val="000000" w:themeColor="text1"/>
                <w:sz w:val="28"/>
                <w:szCs w:val="21"/>
                <w:highlight w:val="none"/>
                <w14:textFill>
                  <w14:solidFill>
                    <w14:schemeClr w14:val="tx1"/>
                  </w14:solidFill>
                </w14:textFill>
              </w:rPr>
            </w:pPr>
          </w:p>
        </w:tc>
      </w:tr>
      <w:tr w14:paraId="55E71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2" w:hRule="atLeast"/>
        </w:trPr>
        <w:tc>
          <w:tcPr>
            <w:tcW w:w="544" w:type="dxa"/>
            <w:noWrap w:val="0"/>
            <w:vAlign w:val="center"/>
          </w:tcPr>
          <w:p w14:paraId="3169931D">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方正仿宋_GBK" w:cs="Times New Roman"/>
                <w:b/>
                <w:bCs/>
                <w:color w:val="000000" w:themeColor="text1"/>
                <w:sz w:val="24"/>
                <w:szCs w:val="22"/>
                <w:highlight w:val="none"/>
                <w:lang w:val="en-US" w:eastAsia="zh-CN"/>
                <w14:textFill>
                  <w14:solidFill>
                    <w14:schemeClr w14:val="tx1"/>
                  </w14:solidFill>
                </w14:textFill>
              </w:rPr>
            </w:pPr>
            <w:r>
              <w:rPr>
                <w:rFonts w:hint="eastAsia" w:eastAsia="方正仿宋_GBK" w:cs="Times New Roman"/>
                <w:b/>
                <w:bCs/>
                <w:color w:val="000000" w:themeColor="text1"/>
                <w:sz w:val="24"/>
                <w:szCs w:val="22"/>
                <w:highlight w:val="none"/>
                <w:lang w:val="en-US" w:eastAsia="zh-CN"/>
                <w14:textFill>
                  <w14:solidFill>
                    <w14:schemeClr w14:val="tx1"/>
                  </w14:solidFill>
                </w14:textFill>
              </w:rPr>
              <w:t>3</w:t>
            </w:r>
          </w:p>
        </w:tc>
        <w:tc>
          <w:tcPr>
            <w:tcW w:w="1350" w:type="dxa"/>
            <w:noWrap w:val="0"/>
            <w:vAlign w:val="center"/>
          </w:tcPr>
          <w:p w14:paraId="7AE9438E">
            <w:pPr>
              <w:keepNext w:val="0"/>
              <w:keepLines w:val="0"/>
              <w:pageBreakBefore w:val="0"/>
              <w:widowControl w:val="0"/>
              <w:kinsoku/>
              <w:wordWrap/>
              <w:overflowPunct/>
              <w:topLinePunct w:val="0"/>
              <w:autoSpaceDE/>
              <w:autoSpaceDN/>
              <w:bidi w:val="0"/>
              <w:adjustRightInd/>
              <w:snapToGrid/>
              <w:spacing w:line="300" w:lineRule="exact"/>
              <w:ind w:firstLine="0" w:firstLineChars="0"/>
              <w:textAlignment w:val="auto"/>
              <w:rPr>
                <w:rFonts w:hint="default" w:ascii="Times New Roman" w:hAnsi="Times New Roman" w:eastAsia="方正仿宋_GBK" w:cs="Times New Roman"/>
                <w:b/>
                <w:bCs/>
                <w:color w:val="000000" w:themeColor="text1"/>
                <w:sz w:val="24"/>
                <w:szCs w:val="22"/>
                <w:highlight w:val="none"/>
                <w:lang w:val="en-US" w:eastAsia="zh-CN"/>
                <w14:textFill>
                  <w14:solidFill>
                    <w14:schemeClr w14:val="tx1"/>
                  </w14:solidFill>
                </w14:textFill>
              </w:rPr>
            </w:pPr>
            <w:r>
              <w:rPr>
                <w:rFonts w:hint="eastAsia" w:ascii="Times New Roman" w:hAnsi="Times New Roman" w:eastAsia="方正仿宋_GBK" w:cs="Times New Roman"/>
                <w:b/>
                <w:bCs/>
                <w:color w:val="000000" w:themeColor="text1"/>
                <w:sz w:val="24"/>
                <w:szCs w:val="22"/>
                <w:highlight w:val="none"/>
                <w:lang w:val="en-US" w:eastAsia="zh-CN"/>
                <w14:textFill>
                  <w14:solidFill>
                    <w14:schemeClr w14:val="tx1"/>
                  </w14:solidFill>
                </w14:textFill>
              </w:rPr>
              <w:t>公众责任险</w:t>
            </w:r>
          </w:p>
        </w:tc>
        <w:tc>
          <w:tcPr>
            <w:tcW w:w="2292" w:type="dxa"/>
            <w:noWrap w:val="0"/>
            <w:vAlign w:val="center"/>
          </w:tcPr>
          <w:p w14:paraId="272D0076">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default" w:ascii="Times New Roman" w:hAnsi="Times New Roman" w:eastAsia="方正仿宋_GBK" w:cs="Times New Roman"/>
                <w:color w:val="000000" w:themeColor="text1"/>
                <w:sz w:val="22"/>
                <w:szCs w:val="21"/>
                <w:highlight w:val="none"/>
                <w:lang w:val="en-US" w:eastAsia="zh-CN"/>
                <w14:textFill>
                  <w14:solidFill>
                    <w14:schemeClr w14:val="tx1"/>
                  </w14:solidFill>
                </w14:textFill>
              </w:rPr>
            </w:pPr>
            <w:r>
              <w:rPr>
                <w:rFonts w:hint="default" w:ascii="Times New Roman" w:hAnsi="Times New Roman" w:eastAsia="方正仿宋_GBK" w:cs="Times New Roman"/>
                <w:color w:val="000000" w:themeColor="text1"/>
                <w:sz w:val="22"/>
                <w:szCs w:val="21"/>
                <w:highlight w:val="none"/>
                <w:lang w:val="en-US" w:eastAsia="zh-CN"/>
                <w14:textFill>
                  <w14:solidFill>
                    <w14:schemeClr w14:val="tx1"/>
                  </w14:solidFill>
                </w14:textFill>
              </w:rPr>
              <w:t>年累计赔偿限额200万元；</w:t>
            </w:r>
          </w:p>
          <w:p w14:paraId="00A86C4C">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default" w:ascii="Times New Roman" w:hAnsi="Times New Roman" w:eastAsia="方正仿宋_GBK" w:cs="Times New Roman"/>
                <w:color w:val="000000" w:themeColor="text1"/>
                <w:sz w:val="22"/>
                <w:szCs w:val="21"/>
                <w:highlight w:val="none"/>
                <w:lang w:val="en-US" w:eastAsia="zh-CN"/>
                <w14:textFill>
                  <w14:solidFill>
                    <w14:schemeClr w14:val="tx1"/>
                  </w14:solidFill>
                </w14:textFill>
              </w:rPr>
            </w:pPr>
            <w:r>
              <w:rPr>
                <w:rFonts w:hint="default" w:ascii="Times New Roman" w:hAnsi="Times New Roman" w:eastAsia="方正仿宋_GBK" w:cs="Times New Roman"/>
                <w:color w:val="000000" w:themeColor="text1"/>
                <w:sz w:val="22"/>
                <w:szCs w:val="21"/>
                <w:highlight w:val="none"/>
                <w:lang w:val="en-US" w:eastAsia="zh-CN"/>
                <w14:textFill>
                  <w14:solidFill>
                    <w14:schemeClr w14:val="tx1"/>
                  </w14:solidFill>
                </w14:textFill>
              </w:rPr>
              <w:t>单次事故赔偿限额100万元；</w:t>
            </w:r>
          </w:p>
          <w:p w14:paraId="7030A145">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eastAsia" w:ascii="Times New Roman" w:hAnsi="Times New Roman" w:eastAsia="方正仿宋_GBK" w:cs="Times New Roman"/>
                <w:color w:val="000000" w:themeColor="text1"/>
                <w:sz w:val="22"/>
                <w:szCs w:val="21"/>
                <w:highlight w:val="none"/>
                <w:lang w:val="en-US" w:eastAsia="zh-CN"/>
                <w14:textFill>
                  <w14:solidFill>
                    <w14:schemeClr w14:val="tx1"/>
                  </w14:solidFill>
                </w14:textFill>
              </w:rPr>
            </w:pPr>
            <w:r>
              <w:rPr>
                <w:rFonts w:hint="default" w:ascii="Times New Roman" w:hAnsi="Times New Roman" w:eastAsia="方正仿宋_GBK" w:cs="Times New Roman"/>
                <w:color w:val="000000" w:themeColor="text1"/>
                <w:sz w:val="22"/>
                <w:szCs w:val="21"/>
                <w:highlight w:val="none"/>
                <w:lang w:val="en-US" w:eastAsia="zh-CN"/>
                <w14:textFill>
                  <w14:solidFill>
                    <w14:schemeClr w14:val="tx1"/>
                  </w14:solidFill>
                </w14:textFill>
              </w:rPr>
              <w:t>每人每次事故赔偿限额10万元</w:t>
            </w:r>
            <w:r>
              <w:rPr>
                <w:rFonts w:hint="eastAsia" w:eastAsia="方正仿宋_GBK" w:cs="Times New Roman"/>
                <w:color w:val="000000" w:themeColor="text1"/>
                <w:sz w:val="22"/>
                <w:szCs w:val="21"/>
                <w:highlight w:val="none"/>
                <w:lang w:val="en-US" w:eastAsia="zh-CN"/>
                <w14:textFill>
                  <w14:solidFill>
                    <w14:schemeClr w14:val="tx1"/>
                  </w14:solidFill>
                </w14:textFill>
              </w:rPr>
              <w:t>。</w:t>
            </w:r>
          </w:p>
        </w:tc>
        <w:tc>
          <w:tcPr>
            <w:tcW w:w="2446" w:type="dxa"/>
            <w:noWrap w:val="0"/>
            <w:vAlign w:val="center"/>
          </w:tcPr>
          <w:p w14:paraId="463CBCAC">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eastAsia"/>
                <w:color w:val="000000" w:themeColor="text1"/>
                <w:sz w:val="20"/>
                <w:szCs w:val="22"/>
                <w:highlight w:val="none"/>
                <w:lang w:val="en-US" w:eastAsia="zh-CN"/>
                <w14:textFill>
                  <w14:solidFill>
                    <w14:schemeClr w14:val="tx1"/>
                  </w14:solidFill>
                </w14:textFill>
              </w:rPr>
            </w:pPr>
            <w:r>
              <w:rPr>
                <w:rFonts w:hint="default" w:ascii="Times New Roman" w:hAnsi="Times New Roman" w:eastAsia="方正仿宋_GBK" w:cs="Times New Roman"/>
                <w:color w:val="000000" w:themeColor="text1"/>
                <w:sz w:val="22"/>
                <w:szCs w:val="21"/>
                <w:highlight w:val="none"/>
                <w14:textFill>
                  <w14:solidFill>
                    <w14:schemeClr w14:val="tx1"/>
                  </w14:solidFill>
                </w14:textFill>
              </w:rPr>
              <w:t>财产部分：每次事故免赔额</w:t>
            </w:r>
            <w:r>
              <w:rPr>
                <w:rFonts w:hint="default" w:ascii="Times New Roman" w:hAnsi="Times New Roman" w:eastAsia="方正仿宋_GBK" w:cs="Times New Roman"/>
                <w:color w:val="000000" w:themeColor="text1"/>
                <w:sz w:val="22"/>
                <w:szCs w:val="21"/>
                <w:highlight w:val="none"/>
                <w:lang w:val="en-US" w:eastAsia="zh-CN"/>
                <w14:textFill>
                  <w14:solidFill>
                    <w14:schemeClr w14:val="tx1"/>
                  </w14:solidFill>
                </w14:textFill>
              </w:rPr>
              <w:t>2</w:t>
            </w:r>
            <w:r>
              <w:rPr>
                <w:rFonts w:hint="default" w:ascii="Times New Roman" w:hAnsi="Times New Roman" w:eastAsia="方正仿宋_GBK" w:cs="Times New Roman"/>
                <w:color w:val="000000" w:themeColor="text1"/>
                <w:sz w:val="22"/>
                <w:szCs w:val="21"/>
                <w:highlight w:val="none"/>
                <w14:textFill>
                  <w14:solidFill>
                    <w14:schemeClr w14:val="tx1"/>
                  </w14:solidFill>
                </w14:textFill>
              </w:rPr>
              <w:t>000元或损失金额的10%，以高者为准；人身伤亡无免赔。</w:t>
            </w:r>
          </w:p>
        </w:tc>
        <w:tc>
          <w:tcPr>
            <w:tcW w:w="1304" w:type="dxa"/>
            <w:noWrap w:val="0"/>
            <w:vAlign w:val="center"/>
          </w:tcPr>
          <w:p w14:paraId="412698DB">
            <w:pPr>
              <w:ind w:firstLine="0" w:firstLineChars="0"/>
              <w:jc w:val="center"/>
              <w:textAlignment w:val="center"/>
              <w:rPr>
                <w:rFonts w:hint="default" w:ascii="Times New Roman" w:hAnsi="Times New Roman" w:eastAsia="方正仿宋_GBK" w:cs="Times New Roman"/>
                <w:color w:val="000000" w:themeColor="text1"/>
                <w:sz w:val="22"/>
                <w:szCs w:val="21"/>
                <w:highlight w:val="none"/>
                <w:lang w:val="en-US" w:eastAsia="zh-CN"/>
                <w14:textFill>
                  <w14:solidFill>
                    <w14:schemeClr w14:val="tx1"/>
                  </w14:solidFill>
                </w14:textFill>
              </w:rPr>
            </w:pPr>
            <w:r>
              <w:rPr>
                <w:rFonts w:hint="eastAsia" w:eastAsia="方正仿宋_GBK" w:cs="Times New Roman"/>
                <w:color w:val="000000" w:themeColor="text1"/>
                <w:sz w:val="22"/>
                <w:szCs w:val="21"/>
                <w:highlight w:val="none"/>
                <w:lang w:val="en-US" w:eastAsia="zh-CN"/>
                <w14:textFill>
                  <w14:solidFill>
                    <w14:schemeClr w14:val="tx1"/>
                  </w14:solidFill>
                </w14:textFill>
              </w:rPr>
              <w:t>10000</w:t>
            </w:r>
          </w:p>
        </w:tc>
        <w:tc>
          <w:tcPr>
            <w:tcW w:w="1533" w:type="dxa"/>
            <w:noWrap w:val="0"/>
            <w:vAlign w:val="center"/>
          </w:tcPr>
          <w:p w14:paraId="75384094">
            <w:pPr>
              <w:jc w:val="both"/>
              <w:textAlignment w:val="center"/>
              <w:rPr>
                <w:rFonts w:hint="default" w:ascii="Times New Roman" w:hAnsi="Times New Roman" w:eastAsia="方正仿宋_GBK" w:cs="Times New Roman"/>
                <w:color w:val="000000" w:themeColor="text1"/>
                <w:sz w:val="24"/>
                <w:szCs w:val="22"/>
                <w:highlight w:val="none"/>
                <w:lang w:val="en-US" w:eastAsia="zh-CN"/>
                <w14:textFill>
                  <w14:solidFill>
                    <w14:schemeClr w14:val="tx1"/>
                  </w14:solidFill>
                </w14:textFill>
              </w:rPr>
            </w:pPr>
          </w:p>
        </w:tc>
      </w:tr>
      <w:tr w14:paraId="3D2E8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2" w:hRule="atLeast"/>
        </w:trPr>
        <w:tc>
          <w:tcPr>
            <w:tcW w:w="4186" w:type="dxa"/>
            <w:gridSpan w:val="3"/>
            <w:noWrap w:val="0"/>
            <w:vAlign w:val="center"/>
          </w:tcPr>
          <w:p w14:paraId="2723C78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方正仿宋_GBK" w:cs="Times New Roman"/>
                <w:color w:val="000000" w:themeColor="text1"/>
                <w:sz w:val="24"/>
                <w:szCs w:val="22"/>
                <w:highlight w:val="none"/>
                <w:lang w:val="en-US" w:eastAsia="zh-CN"/>
                <w14:textFill>
                  <w14:solidFill>
                    <w14:schemeClr w14:val="tx1"/>
                  </w14:solidFill>
                </w14:textFill>
              </w:rPr>
            </w:pPr>
            <w:r>
              <w:rPr>
                <w:rFonts w:hint="eastAsia" w:eastAsia="方正仿宋_GBK" w:cs="Times New Roman"/>
                <w:b/>
                <w:bCs/>
                <w:color w:val="000000" w:themeColor="text1"/>
                <w:sz w:val="32"/>
                <w:szCs w:val="28"/>
                <w:highlight w:val="none"/>
                <w:lang w:val="en-US" w:eastAsia="zh-CN"/>
                <w14:textFill>
                  <w14:solidFill>
                    <w14:schemeClr w14:val="tx1"/>
                  </w14:solidFill>
                </w14:textFill>
              </w:rPr>
              <w:t>合计</w:t>
            </w:r>
          </w:p>
        </w:tc>
        <w:tc>
          <w:tcPr>
            <w:tcW w:w="5283" w:type="dxa"/>
            <w:gridSpan w:val="3"/>
            <w:noWrap w:val="0"/>
            <w:vAlign w:val="center"/>
          </w:tcPr>
          <w:p w14:paraId="2A68F100">
            <w:pPr>
              <w:jc w:val="both"/>
              <w:textAlignment w:val="center"/>
              <w:rPr>
                <w:rFonts w:hint="default" w:ascii="Times New Roman" w:hAnsi="Times New Roman" w:eastAsia="方正仿宋_GBK" w:cs="Times New Roman"/>
                <w:b/>
                <w:bCs/>
                <w:color w:val="000000" w:themeColor="text1"/>
                <w:sz w:val="32"/>
                <w:szCs w:val="28"/>
                <w:highlight w:val="none"/>
                <w:lang w:val="en-US" w:eastAsia="zh-CN"/>
                <w14:textFill>
                  <w14:solidFill>
                    <w14:schemeClr w14:val="tx1"/>
                  </w14:solidFill>
                </w14:textFill>
              </w:rPr>
            </w:pPr>
            <w:r>
              <w:rPr>
                <w:rFonts w:hint="eastAsia" w:eastAsia="方正仿宋_GBK" w:cs="Times New Roman"/>
                <w:b/>
                <w:bCs/>
                <w:color w:val="000000" w:themeColor="text1"/>
                <w:sz w:val="32"/>
                <w:szCs w:val="28"/>
                <w:highlight w:val="none"/>
                <w:lang w:val="en-US" w:eastAsia="zh-CN"/>
                <w14:textFill>
                  <w14:solidFill>
                    <w14:schemeClr w14:val="tx1"/>
                  </w14:solidFill>
                </w14:textFill>
              </w:rPr>
              <w:t xml:space="preserve">             元/年</w:t>
            </w:r>
          </w:p>
        </w:tc>
      </w:tr>
      <w:tr w14:paraId="22F94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2" w:hRule="atLeast"/>
        </w:trPr>
        <w:tc>
          <w:tcPr>
            <w:tcW w:w="4186" w:type="dxa"/>
            <w:gridSpan w:val="3"/>
            <w:noWrap w:val="0"/>
            <w:vAlign w:val="center"/>
          </w:tcPr>
          <w:p w14:paraId="4D3CB0EE">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eastAsia="方正仿宋_GBK" w:cs="Times New Roman"/>
                <w:b/>
                <w:bCs/>
                <w:color w:val="000000" w:themeColor="text1"/>
                <w:sz w:val="32"/>
                <w:szCs w:val="28"/>
                <w:highlight w:val="none"/>
                <w:lang w:val="en-US" w:eastAsia="zh-CN"/>
                <w14:textFill>
                  <w14:solidFill>
                    <w14:schemeClr w14:val="tx1"/>
                  </w14:solidFill>
                </w14:textFill>
              </w:rPr>
            </w:pPr>
            <w:r>
              <w:rPr>
                <w:rFonts w:hint="eastAsia" w:eastAsia="方正仿宋_GBK" w:cs="Times New Roman"/>
                <w:b/>
                <w:bCs/>
                <w:color w:val="000000" w:themeColor="text1"/>
                <w:sz w:val="32"/>
                <w:szCs w:val="28"/>
                <w:highlight w:val="none"/>
                <w:lang w:val="en-US" w:eastAsia="zh-CN"/>
                <w14:textFill>
                  <w14:solidFill>
                    <w14:schemeClr w14:val="tx1"/>
                  </w14:solidFill>
                </w14:textFill>
              </w:rPr>
              <w:t>两年合计</w:t>
            </w:r>
          </w:p>
        </w:tc>
        <w:tc>
          <w:tcPr>
            <w:tcW w:w="5283" w:type="dxa"/>
            <w:gridSpan w:val="3"/>
            <w:noWrap w:val="0"/>
            <w:vAlign w:val="center"/>
          </w:tcPr>
          <w:p w14:paraId="3F034E39">
            <w:pPr>
              <w:jc w:val="both"/>
              <w:textAlignment w:val="center"/>
              <w:rPr>
                <w:rFonts w:hint="default" w:eastAsia="方正仿宋_GBK" w:cs="Times New Roman"/>
                <w:b/>
                <w:bCs/>
                <w:color w:val="000000" w:themeColor="text1"/>
                <w:sz w:val="32"/>
                <w:szCs w:val="28"/>
                <w:highlight w:val="none"/>
                <w:lang w:val="en-US" w:eastAsia="zh-CN"/>
                <w14:textFill>
                  <w14:solidFill>
                    <w14:schemeClr w14:val="tx1"/>
                  </w14:solidFill>
                </w14:textFill>
              </w:rPr>
            </w:pPr>
            <w:r>
              <w:rPr>
                <w:rFonts w:hint="eastAsia" w:eastAsia="方正仿宋_GBK" w:cs="Times New Roman"/>
                <w:b/>
                <w:bCs/>
                <w:color w:val="000000" w:themeColor="text1"/>
                <w:sz w:val="32"/>
                <w:szCs w:val="28"/>
                <w:highlight w:val="none"/>
                <w:lang w:val="en-US" w:eastAsia="zh-CN"/>
                <w14:textFill>
                  <w14:solidFill>
                    <w14:schemeClr w14:val="tx1"/>
                  </w14:solidFill>
                </w14:textFill>
              </w:rPr>
              <w:t xml:space="preserve">             元</w:t>
            </w:r>
          </w:p>
        </w:tc>
      </w:tr>
    </w:tbl>
    <w:p w14:paraId="034BC4A7">
      <w:pPr>
        <w:pStyle w:val="48"/>
        <w:rPr>
          <w:rFonts w:hint="eastAsia"/>
          <w:highlight w:val="none"/>
        </w:rPr>
      </w:pPr>
    </w:p>
    <w:p w14:paraId="0B4D1FE7">
      <w:pPr>
        <w:spacing w:line="400" w:lineRule="exact"/>
        <w:ind w:firstLine="480" w:firstLineChars="200"/>
        <w:rPr>
          <w:rFonts w:hint="eastAsia" w:ascii="宋体" w:hAnsi="宋体"/>
          <w:bCs/>
          <w:sz w:val="24"/>
          <w:highlight w:val="none"/>
        </w:rPr>
      </w:pPr>
      <w:r>
        <w:rPr>
          <w:rFonts w:hint="eastAsia" w:ascii="宋体" w:hAnsi="宋体"/>
          <w:bCs/>
          <w:sz w:val="24"/>
          <w:highlight w:val="none"/>
        </w:rPr>
        <w:t>供应商名称：</w:t>
      </w:r>
      <w:r>
        <w:rPr>
          <w:rFonts w:hint="eastAsia" w:ascii="宋体" w:hAnsi="宋体"/>
          <w:bCs/>
          <w:sz w:val="24"/>
          <w:highlight w:val="none"/>
          <w:u w:val="single"/>
        </w:rPr>
        <w:t xml:space="preserve">                      </w:t>
      </w:r>
      <w:r>
        <w:rPr>
          <w:rFonts w:hint="eastAsia" w:ascii="宋体" w:hAnsi="宋体"/>
          <w:bCs/>
          <w:sz w:val="24"/>
          <w:highlight w:val="none"/>
        </w:rPr>
        <w:t>（单位公章）</w:t>
      </w:r>
    </w:p>
    <w:p w14:paraId="523BEB8B">
      <w:pPr>
        <w:spacing w:line="400" w:lineRule="exact"/>
        <w:ind w:firstLine="480" w:firstLineChars="200"/>
        <w:rPr>
          <w:rFonts w:hint="eastAsia" w:ascii="宋体" w:hAnsi="宋体"/>
          <w:bCs/>
          <w:sz w:val="24"/>
          <w:highlight w:val="none"/>
        </w:rPr>
      </w:pPr>
    </w:p>
    <w:p w14:paraId="0E291014">
      <w:pPr>
        <w:spacing w:line="400" w:lineRule="exact"/>
        <w:ind w:firstLine="480" w:firstLineChars="200"/>
        <w:rPr>
          <w:rFonts w:hint="eastAsia" w:ascii="宋体" w:hAnsi="宋体"/>
          <w:bCs/>
          <w:sz w:val="24"/>
          <w:highlight w:val="none"/>
        </w:rPr>
      </w:pPr>
      <w:r>
        <w:rPr>
          <w:rFonts w:hint="eastAsia" w:ascii="宋体" w:hAnsi="宋体"/>
          <w:bCs/>
          <w:sz w:val="24"/>
          <w:highlight w:val="none"/>
        </w:rPr>
        <w:t>法定代表人（或分/支公司负责人）</w:t>
      </w:r>
    </w:p>
    <w:p w14:paraId="64B028C1">
      <w:pPr>
        <w:spacing w:line="400" w:lineRule="exact"/>
        <w:ind w:firstLine="480" w:firstLineChars="200"/>
        <w:rPr>
          <w:rFonts w:hint="eastAsia" w:ascii="宋体" w:hAnsi="宋体"/>
          <w:bCs/>
          <w:sz w:val="24"/>
          <w:highlight w:val="none"/>
        </w:rPr>
      </w:pPr>
      <w:r>
        <w:rPr>
          <w:rFonts w:hint="eastAsia" w:ascii="宋体" w:hAnsi="宋体"/>
          <w:bCs/>
          <w:sz w:val="24"/>
          <w:highlight w:val="none"/>
        </w:rPr>
        <w:t>或授权代理人：</w:t>
      </w:r>
      <w:r>
        <w:rPr>
          <w:rFonts w:hint="eastAsia" w:ascii="宋体" w:hAnsi="宋体"/>
          <w:bCs/>
          <w:sz w:val="24"/>
          <w:highlight w:val="none"/>
          <w:u w:val="single"/>
        </w:rPr>
        <w:t xml:space="preserve">                  </w:t>
      </w:r>
      <w:r>
        <w:rPr>
          <w:rFonts w:hint="eastAsia" w:ascii="宋体" w:hAnsi="宋体"/>
          <w:bCs/>
          <w:sz w:val="24"/>
          <w:highlight w:val="none"/>
        </w:rPr>
        <w:t>（签名或盖章）</w:t>
      </w:r>
    </w:p>
    <w:p w14:paraId="36F651B2">
      <w:pPr>
        <w:spacing w:line="400" w:lineRule="exact"/>
        <w:ind w:firstLine="480" w:firstLineChars="200"/>
        <w:rPr>
          <w:rFonts w:hint="eastAsia" w:ascii="宋体" w:hAnsi="宋体"/>
          <w:bCs/>
          <w:sz w:val="24"/>
          <w:highlight w:val="none"/>
        </w:rPr>
      </w:pPr>
    </w:p>
    <w:p w14:paraId="1188B70B">
      <w:pPr>
        <w:spacing w:line="400" w:lineRule="exact"/>
        <w:ind w:firstLine="480" w:firstLineChars="200"/>
        <w:rPr>
          <w:rFonts w:hint="eastAsia" w:ascii="宋体" w:hAnsi="宋体"/>
          <w:bCs/>
          <w:sz w:val="24"/>
          <w:highlight w:val="none"/>
          <w:u w:val="single"/>
        </w:rPr>
        <w:sectPr>
          <w:headerReference r:id="rId19" w:type="default"/>
          <w:footerReference r:id="rId20" w:type="default"/>
          <w:pgSz w:w="11906" w:h="16838"/>
          <w:pgMar w:top="1440" w:right="1800" w:bottom="1440" w:left="1800" w:header="851" w:footer="992" w:gutter="0"/>
          <w:cols w:space="720" w:num="1"/>
          <w:docGrid w:type="lines" w:linePitch="312" w:charSpace="0"/>
        </w:sectPr>
      </w:pPr>
      <w:r>
        <w:rPr>
          <w:rFonts w:hint="eastAsia" w:ascii="宋体" w:hAnsi="宋体"/>
          <w:bCs/>
          <w:sz w:val="24"/>
          <w:highlight w:val="none"/>
        </w:rPr>
        <w:t>日期：</w:t>
      </w:r>
      <w:r>
        <w:rPr>
          <w:rFonts w:hint="eastAsia" w:ascii="宋体" w:hAnsi="宋体"/>
          <w:bCs/>
          <w:sz w:val="24"/>
          <w:highlight w:val="none"/>
          <w:u w:val="single"/>
        </w:rPr>
        <w:t xml:space="preserve">                                </w:t>
      </w:r>
    </w:p>
    <w:p w14:paraId="473DE30E">
      <w:pPr>
        <w:pStyle w:val="5"/>
        <w:spacing w:line="400" w:lineRule="atLeast"/>
        <w:ind w:firstLine="0" w:firstLineChars="0"/>
        <w:jc w:val="center"/>
        <w:rPr>
          <w:rFonts w:hint="default" w:ascii="Times New Roman" w:hAnsi="Times New Roman" w:eastAsia="黑体"/>
          <w:b w:val="0"/>
          <w:highlight w:val="none"/>
          <w:lang w:val="en-US" w:eastAsia="zh-CN"/>
        </w:rPr>
      </w:pPr>
      <w:bookmarkStart w:id="257" w:name="_Toc21685"/>
      <w:bookmarkStart w:id="258" w:name="_Toc10581"/>
      <w:bookmarkStart w:id="259" w:name="_Toc31538"/>
      <w:r>
        <w:rPr>
          <w:rFonts w:hint="eastAsia" w:ascii="Times New Roman" w:hAnsi="Times New Roman"/>
          <w:b w:val="0"/>
          <w:highlight w:val="none"/>
        </w:rPr>
        <w:t>二、总公司及分/支公司营业执照</w:t>
      </w:r>
      <w:bookmarkEnd w:id="257"/>
      <w:bookmarkEnd w:id="258"/>
      <w:bookmarkEnd w:id="259"/>
    </w:p>
    <w:p w14:paraId="572CB890">
      <w:pPr>
        <w:ind w:firstLine="420"/>
        <w:rPr>
          <w:highlight w:val="none"/>
        </w:rPr>
      </w:pPr>
      <w:r>
        <w:rPr>
          <w:rFonts w:hint="eastAsia"/>
          <w:highlight w:val="none"/>
        </w:rPr>
        <w:br w:type="page"/>
      </w:r>
    </w:p>
    <w:p w14:paraId="03E05FAA">
      <w:pPr>
        <w:pStyle w:val="5"/>
        <w:spacing w:line="400" w:lineRule="atLeast"/>
        <w:ind w:firstLine="0" w:firstLineChars="0"/>
        <w:jc w:val="center"/>
        <w:rPr>
          <w:rFonts w:ascii="Times New Roman" w:hAnsi="Times New Roman"/>
          <w:b w:val="0"/>
          <w:highlight w:val="none"/>
        </w:rPr>
      </w:pPr>
      <w:bookmarkStart w:id="260" w:name="_Toc23907"/>
      <w:bookmarkStart w:id="261" w:name="_Toc13040"/>
      <w:bookmarkStart w:id="262" w:name="_Toc14420"/>
      <w:r>
        <w:rPr>
          <w:rFonts w:hint="eastAsia" w:ascii="Times New Roman" w:hAnsi="Times New Roman"/>
          <w:b w:val="0"/>
          <w:highlight w:val="none"/>
          <w:lang w:val="en-US" w:eastAsia="zh-CN"/>
        </w:rPr>
        <w:t>三</w:t>
      </w:r>
      <w:r>
        <w:rPr>
          <w:rFonts w:hint="eastAsia" w:ascii="Times New Roman" w:hAnsi="Times New Roman"/>
          <w:b w:val="0"/>
          <w:highlight w:val="none"/>
        </w:rPr>
        <w:t>、法定代表人（或分/支公司负责人）</w:t>
      </w:r>
      <w:r>
        <w:rPr>
          <w:rFonts w:ascii="Times New Roman" w:hAnsi="Times New Roman"/>
          <w:b w:val="0"/>
          <w:highlight w:val="none"/>
        </w:rPr>
        <w:t>身份证明</w:t>
      </w:r>
      <w:bookmarkEnd w:id="260"/>
      <w:bookmarkEnd w:id="261"/>
      <w:bookmarkEnd w:id="262"/>
    </w:p>
    <w:p w14:paraId="51C2C01E">
      <w:pPr>
        <w:spacing w:line="400" w:lineRule="atLeast"/>
        <w:ind w:firstLine="400"/>
        <w:rPr>
          <w:sz w:val="20"/>
          <w:szCs w:val="20"/>
          <w:highlight w:val="none"/>
        </w:rPr>
      </w:pPr>
    </w:p>
    <w:p w14:paraId="3751240D">
      <w:pPr>
        <w:spacing w:line="400" w:lineRule="atLeast"/>
        <w:ind w:firstLine="420"/>
        <w:rPr>
          <w:szCs w:val="21"/>
          <w:highlight w:val="none"/>
        </w:rPr>
      </w:pPr>
    </w:p>
    <w:p w14:paraId="3EE0E8CE">
      <w:pPr>
        <w:spacing w:line="400" w:lineRule="atLeast"/>
        <w:ind w:firstLine="480"/>
        <w:jc w:val="left"/>
        <w:rPr>
          <w:sz w:val="24"/>
          <w:highlight w:val="none"/>
        </w:rPr>
      </w:pPr>
      <w:r>
        <w:rPr>
          <w:sz w:val="24"/>
          <w:highlight w:val="none"/>
        </w:rPr>
        <w:t>供应商名称：</w:t>
      </w:r>
    </w:p>
    <w:p w14:paraId="554FF7C2">
      <w:pPr>
        <w:spacing w:line="400" w:lineRule="atLeast"/>
        <w:ind w:firstLine="480"/>
        <w:jc w:val="left"/>
        <w:rPr>
          <w:sz w:val="24"/>
          <w:highlight w:val="none"/>
        </w:rPr>
      </w:pPr>
      <w:r>
        <w:rPr>
          <w:sz w:val="24"/>
          <w:highlight w:val="none"/>
        </w:rPr>
        <w:t>单位性质：</w:t>
      </w:r>
    </w:p>
    <w:p w14:paraId="77E0ADE8">
      <w:pPr>
        <w:spacing w:line="400" w:lineRule="atLeast"/>
        <w:ind w:firstLine="480"/>
        <w:jc w:val="left"/>
        <w:rPr>
          <w:sz w:val="24"/>
          <w:highlight w:val="none"/>
        </w:rPr>
      </w:pPr>
      <w:r>
        <w:rPr>
          <w:sz w:val="24"/>
          <w:highlight w:val="none"/>
        </w:rPr>
        <w:t>地址：</w:t>
      </w:r>
    </w:p>
    <w:p w14:paraId="017C94B9">
      <w:pPr>
        <w:spacing w:line="400" w:lineRule="atLeast"/>
        <w:ind w:firstLine="480"/>
        <w:jc w:val="left"/>
        <w:rPr>
          <w:sz w:val="24"/>
          <w:highlight w:val="none"/>
        </w:rPr>
      </w:pPr>
      <w:r>
        <w:rPr>
          <w:sz w:val="24"/>
          <w:highlight w:val="none"/>
        </w:rPr>
        <w:t>成立时间：    年  月  日</w:t>
      </w:r>
    </w:p>
    <w:p w14:paraId="23621F00">
      <w:pPr>
        <w:spacing w:line="400" w:lineRule="atLeast"/>
        <w:ind w:firstLine="480"/>
        <w:jc w:val="left"/>
        <w:rPr>
          <w:sz w:val="24"/>
          <w:highlight w:val="none"/>
        </w:rPr>
      </w:pPr>
      <w:r>
        <w:rPr>
          <w:sz w:val="24"/>
          <w:highlight w:val="none"/>
        </w:rPr>
        <w:t>经营期限：</w:t>
      </w:r>
    </w:p>
    <w:p w14:paraId="064C19C6">
      <w:pPr>
        <w:spacing w:line="400" w:lineRule="atLeast"/>
        <w:ind w:firstLine="480"/>
        <w:jc w:val="left"/>
        <w:rPr>
          <w:sz w:val="24"/>
          <w:highlight w:val="none"/>
          <w:u w:val="single"/>
        </w:rPr>
      </w:pPr>
      <w:r>
        <w:rPr>
          <w:sz w:val="24"/>
          <w:highlight w:val="none"/>
        </w:rPr>
        <w:t>姓名：</w:t>
      </w:r>
      <w:r>
        <w:rPr>
          <w:sz w:val="24"/>
          <w:highlight w:val="none"/>
          <w:u w:val="single"/>
        </w:rPr>
        <w:t xml:space="preserve">       </w:t>
      </w:r>
      <w:r>
        <w:rPr>
          <w:sz w:val="24"/>
          <w:highlight w:val="none"/>
        </w:rPr>
        <w:t>性别：</w:t>
      </w:r>
      <w:r>
        <w:rPr>
          <w:sz w:val="24"/>
          <w:highlight w:val="none"/>
          <w:u w:val="single"/>
        </w:rPr>
        <w:t xml:space="preserve">      </w:t>
      </w:r>
      <w:r>
        <w:rPr>
          <w:sz w:val="24"/>
          <w:highlight w:val="none"/>
        </w:rPr>
        <w:t>年龄：</w:t>
      </w:r>
      <w:r>
        <w:rPr>
          <w:sz w:val="24"/>
          <w:highlight w:val="none"/>
          <w:u w:val="single"/>
        </w:rPr>
        <w:t xml:space="preserve">       </w:t>
      </w:r>
      <w:r>
        <w:rPr>
          <w:sz w:val="24"/>
          <w:highlight w:val="none"/>
        </w:rPr>
        <w:t>职务：</w:t>
      </w:r>
      <w:r>
        <w:rPr>
          <w:sz w:val="24"/>
          <w:highlight w:val="none"/>
          <w:u w:val="single"/>
        </w:rPr>
        <w:t xml:space="preserve">      </w:t>
      </w:r>
    </w:p>
    <w:p w14:paraId="30856695">
      <w:pPr>
        <w:spacing w:line="400" w:lineRule="atLeast"/>
        <w:ind w:firstLine="480"/>
        <w:jc w:val="left"/>
        <w:rPr>
          <w:sz w:val="24"/>
          <w:highlight w:val="none"/>
        </w:rPr>
      </w:pPr>
      <w:r>
        <w:rPr>
          <w:sz w:val="24"/>
          <w:highlight w:val="none"/>
        </w:rPr>
        <w:t xml:space="preserve">系 </w:t>
      </w:r>
      <w:r>
        <w:rPr>
          <w:sz w:val="24"/>
          <w:highlight w:val="none"/>
          <w:u w:val="single"/>
        </w:rPr>
        <w:t xml:space="preserve">           </w:t>
      </w:r>
      <w:r>
        <w:rPr>
          <w:sz w:val="24"/>
          <w:highlight w:val="none"/>
        </w:rPr>
        <w:t>（供应商名称）的</w:t>
      </w:r>
      <w:r>
        <w:rPr>
          <w:rFonts w:hint="eastAsia"/>
          <w:sz w:val="24"/>
          <w:highlight w:val="none"/>
        </w:rPr>
        <w:t>法定代表人（或分/支公司负责人）</w:t>
      </w:r>
      <w:r>
        <w:rPr>
          <w:sz w:val="24"/>
          <w:highlight w:val="none"/>
        </w:rPr>
        <w:t>。</w:t>
      </w:r>
    </w:p>
    <w:p w14:paraId="08BD3351">
      <w:pPr>
        <w:spacing w:line="360" w:lineRule="auto"/>
        <w:ind w:firstLine="480"/>
        <w:rPr>
          <w:sz w:val="24"/>
          <w:highlight w:val="none"/>
        </w:rPr>
      </w:pPr>
      <w:r>
        <w:rPr>
          <w:sz w:val="24"/>
          <w:highlight w:val="none"/>
        </w:rPr>
        <w:t>特此证明。</w:t>
      </w:r>
    </w:p>
    <w:tbl>
      <w:tblPr>
        <w:tblStyle w:val="5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9"/>
      </w:tblGrid>
      <w:tr w14:paraId="3CF1F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5" w:hRule="atLeast"/>
        </w:trPr>
        <w:tc>
          <w:tcPr>
            <w:tcW w:w="5000" w:type="pct"/>
          </w:tcPr>
          <w:p w14:paraId="5D6669B4">
            <w:pPr>
              <w:spacing w:line="400" w:lineRule="atLeast"/>
              <w:ind w:firstLine="0" w:firstLineChars="0"/>
              <w:rPr>
                <w:sz w:val="24"/>
                <w:highlight w:val="none"/>
              </w:rPr>
            </w:pPr>
            <w:r>
              <w:rPr>
                <w:rFonts w:hint="eastAsia"/>
                <w:sz w:val="24"/>
                <w:highlight w:val="none"/>
              </w:rPr>
              <w:t>附：法定代表人（或分/支公司负责人）身份证扫描件。</w:t>
            </w:r>
          </w:p>
        </w:tc>
      </w:tr>
    </w:tbl>
    <w:p w14:paraId="2932F7FD">
      <w:pPr>
        <w:spacing w:line="400" w:lineRule="atLeast"/>
        <w:ind w:firstLine="480"/>
        <w:jc w:val="right"/>
        <w:rPr>
          <w:sz w:val="24"/>
          <w:highlight w:val="none"/>
        </w:rPr>
      </w:pPr>
    </w:p>
    <w:p w14:paraId="2360711D">
      <w:pPr>
        <w:spacing w:line="400" w:lineRule="atLeast"/>
        <w:ind w:firstLine="480"/>
        <w:jc w:val="right"/>
        <w:rPr>
          <w:sz w:val="24"/>
          <w:highlight w:val="none"/>
        </w:rPr>
      </w:pPr>
    </w:p>
    <w:p w14:paraId="45E034F6">
      <w:pPr>
        <w:spacing w:line="400" w:lineRule="atLeast"/>
        <w:ind w:firstLine="480"/>
        <w:jc w:val="right"/>
        <w:rPr>
          <w:sz w:val="24"/>
          <w:highlight w:val="none"/>
        </w:rPr>
      </w:pPr>
    </w:p>
    <w:p w14:paraId="455C8986">
      <w:pPr>
        <w:spacing w:line="400" w:lineRule="atLeast"/>
        <w:ind w:firstLine="480"/>
        <w:jc w:val="right"/>
        <w:rPr>
          <w:sz w:val="24"/>
          <w:highlight w:val="none"/>
        </w:rPr>
      </w:pPr>
    </w:p>
    <w:p w14:paraId="0A14B073">
      <w:pPr>
        <w:spacing w:line="400" w:lineRule="atLeast"/>
        <w:ind w:right="480" w:firstLine="4080" w:firstLineChars="1700"/>
        <w:rPr>
          <w:sz w:val="24"/>
          <w:highlight w:val="none"/>
        </w:rPr>
      </w:pPr>
      <w:r>
        <w:rPr>
          <w:sz w:val="24"/>
          <w:highlight w:val="none"/>
        </w:rPr>
        <w:t>供应商：（单位公章）</w:t>
      </w:r>
    </w:p>
    <w:p w14:paraId="56C1EC4A">
      <w:pPr>
        <w:spacing w:line="400" w:lineRule="atLeast"/>
        <w:ind w:firstLine="480"/>
        <w:jc w:val="center"/>
        <w:rPr>
          <w:sz w:val="20"/>
          <w:szCs w:val="20"/>
          <w:highlight w:val="none"/>
        </w:rPr>
      </w:pPr>
      <w:r>
        <w:rPr>
          <w:sz w:val="24"/>
          <w:highlight w:val="none"/>
        </w:rPr>
        <w:t xml:space="preserve">                年   月   日</w:t>
      </w:r>
    </w:p>
    <w:p w14:paraId="6892BBC8">
      <w:pPr>
        <w:widowControl/>
        <w:ind w:firstLine="422"/>
        <w:jc w:val="left"/>
        <w:rPr>
          <w:rFonts w:eastAsia="黑体"/>
          <w:sz w:val="32"/>
          <w:szCs w:val="20"/>
          <w:highlight w:val="none"/>
        </w:rPr>
      </w:pPr>
      <w:r>
        <w:rPr>
          <w:b/>
          <w:highlight w:val="none"/>
        </w:rPr>
        <w:br w:type="page"/>
      </w:r>
    </w:p>
    <w:p w14:paraId="603ACCE2">
      <w:pPr>
        <w:pStyle w:val="5"/>
        <w:spacing w:line="400" w:lineRule="atLeast"/>
        <w:ind w:firstLine="0" w:firstLineChars="0"/>
        <w:jc w:val="center"/>
        <w:rPr>
          <w:rFonts w:ascii="Times New Roman" w:hAnsi="Times New Roman"/>
          <w:b w:val="0"/>
          <w:highlight w:val="none"/>
        </w:rPr>
      </w:pPr>
      <w:bookmarkStart w:id="263" w:name="_Toc17501"/>
      <w:bookmarkStart w:id="264" w:name="_Toc17284"/>
      <w:bookmarkStart w:id="265" w:name="_Toc12187"/>
      <w:r>
        <w:rPr>
          <w:rFonts w:hint="eastAsia" w:ascii="Times New Roman" w:hAnsi="Times New Roman"/>
          <w:b w:val="0"/>
          <w:highlight w:val="none"/>
          <w:lang w:val="en-US" w:eastAsia="zh-CN"/>
        </w:rPr>
        <w:t>四</w:t>
      </w:r>
      <w:r>
        <w:rPr>
          <w:rFonts w:ascii="Times New Roman" w:hAnsi="Times New Roman"/>
          <w:b w:val="0"/>
          <w:highlight w:val="none"/>
        </w:rPr>
        <w:t>、</w:t>
      </w:r>
      <w:r>
        <w:rPr>
          <w:rFonts w:hint="eastAsia" w:ascii="Times New Roman" w:hAnsi="Times New Roman"/>
          <w:b w:val="0"/>
          <w:highlight w:val="none"/>
        </w:rPr>
        <w:t>法定代表人（或分/支公司负责人）</w:t>
      </w:r>
      <w:r>
        <w:rPr>
          <w:rFonts w:ascii="Times New Roman" w:hAnsi="Times New Roman"/>
          <w:b w:val="0"/>
          <w:highlight w:val="none"/>
        </w:rPr>
        <w:t>授权委托书</w:t>
      </w:r>
      <w:bookmarkEnd w:id="263"/>
      <w:bookmarkEnd w:id="264"/>
      <w:bookmarkEnd w:id="265"/>
    </w:p>
    <w:p w14:paraId="4AD2E327">
      <w:pPr>
        <w:spacing w:line="400" w:lineRule="atLeast"/>
        <w:ind w:firstLine="420"/>
        <w:rPr>
          <w:szCs w:val="21"/>
          <w:highlight w:val="none"/>
        </w:rPr>
      </w:pPr>
    </w:p>
    <w:p w14:paraId="17611BF9">
      <w:pPr>
        <w:topLinePunct/>
        <w:spacing w:line="400" w:lineRule="atLeast"/>
        <w:ind w:firstLine="480"/>
        <w:rPr>
          <w:sz w:val="24"/>
          <w:highlight w:val="none"/>
        </w:rPr>
      </w:pPr>
      <w:r>
        <w:rPr>
          <w:sz w:val="24"/>
          <w:highlight w:val="none"/>
        </w:rPr>
        <w:t>本人</w:t>
      </w:r>
      <w:r>
        <w:rPr>
          <w:sz w:val="24"/>
          <w:highlight w:val="none"/>
          <w:u w:val="single"/>
        </w:rPr>
        <w:t xml:space="preserve">        </w:t>
      </w:r>
      <w:r>
        <w:rPr>
          <w:sz w:val="24"/>
          <w:highlight w:val="none"/>
        </w:rPr>
        <w:t>（姓名）系</w:t>
      </w:r>
      <w:r>
        <w:rPr>
          <w:sz w:val="24"/>
          <w:highlight w:val="none"/>
          <w:u w:val="single"/>
        </w:rPr>
        <w:t xml:space="preserve">        </w:t>
      </w:r>
      <w:r>
        <w:rPr>
          <w:sz w:val="24"/>
          <w:highlight w:val="none"/>
        </w:rPr>
        <w:t>（供应商）的</w:t>
      </w:r>
      <w:r>
        <w:rPr>
          <w:rFonts w:hint="eastAsia"/>
          <w:sz w:val="24"/>
          <w:highlight w:val="none"/>
        </w:rPr>
        <w:t>法定代表人（或分/支公司负责人）</w:t>
      </w:r>
      <w:r>
        <w:rPr>
          <w:sz w:val="24"/>
          <w:highlight w:val="none"/>
        </w:rPr>
        <w:t>，现委托</w:t>
      </w:r>
      <w:r>
        <w:rPr>
          <w:sz w:val="24"/>
          <w:highlight w:val="none"/>
          <w:u w:val="single"/>
        </w:rPr>
        <w:t xml:space="preserve">        </w:t>
      </w:r>
      <w:r>
        <w:rPr>
          <w:sz w:val="24"/>
          <w:highlight w:val="none"/>
        </w:rPr>
        <w:t>（姓名）为我方代理人。代理人根据授权，以我方名义签署、澄清、说明、补正、递交、撤回、修改</w:t>
      </w:r>
      <w:r>
        <w:rPr>
          <w:sz w:val="24"/>
          <w:highlight w:val="none"/>
          <w:u w:val="single"/>
        </w:rPr>
        <w:t xml:space="preserve">        </w:t>
      </w:r>
      <w:r>
        <w:rPr>
          <w:sz w:val="24"/>
          <w:highlight w:val="none"/>
        </w:rPr>
        <w:t>（项目名称）响应文件、签订合同和处理有关事宜，其法律后果由我方承担。</w:t>
      </w:r>
    </w:p>
    <w:p w14:paraId="037AD9E8">
      <w:pPr>
        <w:spacing w:line="400" w:lineRule="atLeast"/>
        <w:ind w:firstLine="480"/>
        <w:rPr>
          <w:sz w:val="24"/>
          <w:highlight w:val="none"/>
        </w:rPr>
      </w:pPr>
      <w:r>
        <w:rPr>
          <w:sz w:val="24"/>
          <w:highlight w:val="none"/>
        </w:rPr>
        <w:t>委托期限：</w:t>
      </w:r>
      <w:r>
        <w:rPr>
          <w:sz w:val="24"/>
          <w:highlight w:val="none"/>
          <w:u w:val="single"/>
        </w:rPr>
        <w:t>同谈判有效期</w:t>
      </w:r>
      <w:r>
        <w:rPr>
          <w:sz w:val="24"/>
          <w:highlight w:val="none"/>
        </w:rPr>
        <w:t>。</w:t>
      </w:r>
    </w:p>
    <w:p w14:paraId="1B064079">
      <w:pPr>
        <w:spacing w:line="400" w:lineRule="atLeast"/>
        <w:ind w:firstLine="480"/>
        <w:rPr>
          <w:sz w:val="24"/>
          <w:highlight w:val="none"/>
        </w:rPr>
      </w:pPr>
      <w:r>
        <w:rPr>
          <w:sz w:val="24"/>
          <w:highlight w:val="none"/>
        </w:rPr>
        <w:t>代理人无转委托权。</w:t>
      </w:r>
    </w:p>
    <w:tbl>
      <w:tblPr>
        <w:tblStyle w:val="5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9"/>
      </w:tblGrid>
      <w:tr w14:paraId="1E143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9" w:hRule="atLeast"/>
        </w:trPr>
        <w:tc>
          <w:tcPr>
            <w:tcW w:w="5000" w:type="pct"/>
          </w:tcPr>
          <w:p w14:paraId="59E4155B">
            <w:pPr>
              <w:spacing w:line="400" w:lineRule="atLeast"/>
              <w:ind w:firstLine="0" w:firstLineChars="0"/>
              <w:rPr>
                <w:sz w:val="24"/>
                <w:highlight w:val="none"/>
              </w:rPr>
            </w:pPr>
            <w:r>
              <w:rPr>
                <w:rFonts w:hint="eastAsia"/>
                <w:sz w:val="24"/>
                <w:highlight w:val="none"/>
              </w:rPr>
              <w:t>附代理人身份证扫描件：</w:t>
            </w:r>
          </w:p>
        </w:tc>
      </w:tr>
    </w:tbl>
    <w:p w14:paraId="0846EA24">
      <w:pPr>
        <w:spacing w:line="400" w:lineRule="atLeast"/>
        <w:ind w:firstLine="4108" w:firstLineChars="1712"/>
        <w:jc w:val="left"/>
        <w:rPr>
          <w:sz w:val="24"/>
          <w:highlight w:val="none"/>
        </w:rPr>
      </w:pPr>
    </w:p>
    <w:bookmarkEnd w:id="251"/>
    <w:bookmarkEnd w:id="252"/>
    <w:bookmarkEnd w:id="253"/>
    <w:bookmarkEnd w:id="254"/>
    <w:bookmarkEnd w:id="255"/>
    <w:bookmarkEnd w:id="256"/>
    <w:p w14:paraId="23910E91">
      <w:pPr>
        <w:spacing w:line="400" w:lineRule="atLeast"/>
        <w:ind w:firstLine="4108" w:firstLineChars="1712"/>
        <w:jc w:val="left"/>
        <w:rPr>
          <w:sz w:val="24"/>
          <w:highlight w:val="none"/>
        </w:rPr>
      </w:pPr>
      <w:bookmarkStart w:id="266" w:name="_Toc247527835"/>
      <w:bookmarkStart w:id="267" w:name="_Toc152045795"/>
      <w:bookmarkStart w:id="268" w:name="_Toc443200896"/>
      <w:bookmarkStart w:id="269" w:name="_Toc144974863"/>
      <w:bookmarkStart w:id="270" w:name="_Toc247514287"/>
      <w:bookmarkStart w:id="271" w:name="_Toc152042584"/>
      <w:r>
        <w:rPr>
          <w:sz w:val="24"/>
          <w:highlight w:val="none"/>
        </w:rPr>
        <w:t>供应商：（单位公章）</w:t>
      </w:r>
    </w:p>
    <w:p w14:paraId="0EE89FF4">
      <w:pPr>
        <w:spacing w:line="400" w:lineRule="atLeast"/>
        <w:ind w:firstLine="4108" w:firstLineChars="1712"/>
        <w:jc w:val="left"/>
        <w:rPr>
          <w:sz w:val="24"/>
          <w:highlight w:val="none"/>
        </w:rPr>
      </w:pPr>
    </w:p>
    <w:p w14:paraId="2F59A91A">
      <w:pPr>
        <w:spacing w:line="400" w:lineRule="atLeast"/>
        <w:ind w:firstLine="4080" w:firstLineChars="1700"/>
        <w:jc w:val="left"/>
        <w:rPr>
          <w:sz w:val="24"/>
          <w:highlight w:val="none"/>
        </w:rPr>
      </w:pPr>
      <w:r>
        <w:rPr>
          <w:rFonts w:hint="eastAsia"/>
          <w:sz w:val="24"/>
          <w:highlight w:val="none"/>
        </w:rPr>
        <w:t>法定代表人（或分/支公司负责人）</w:t>
      </w:r>
      <w:r>
        <w:rPr>
          <w:sz w:val="24"/>
          <w:highlight w:val="none"/>
        </w:rPr>
        <w:t>：</w:t>
      </w:r>
    </w:p>
    <w:p w14:paraId="0D4D0DDD">
      <w:pPr>
        <w:spacing w:line="400" w:lineRule="atLeast"/>
        <w:ind w:firstLine="4080" w:firstLineChars="1700"/>
        <w:jc w:val="left"/>
        <w:rPr>
          <w:sz w:val="24"/>
          <w:highlight w:val="none"/>
        </w:rPr>
      </w:pPr>
      <w:r>
        <w:rPr>
          <w:sz w:val="24"/>
          <w:highlight w:val="none"/>
        </w:rPr>
        <w:t>（签名或盖章）</w:t>
      </w:r>
    </w:p>
    <w:p w14:paraId="60198FEE">
      <w:pPr>
        <w:spacing w:line="400" w:lineRule="atLeast"/>
        <w:ind w:firstLine="4108" w:firstLineChars="1712"/>
        <w:jc w:val="left"/>
        <w:rPr>
          <w:sz w:val="24"/>
          <w:highlight w:val="none"/>
        </w:rPr>
      </w:pPr>
    </w:p>
    <w:p w14:paraId="4FB38396">
      <w:pPr>
        <w:spacing w:line="400" w:lineRule="atLeast"/>
        <w:ind w:firstLine="4108" w:firstLineChars="1712"/>
        <w:jc w:val="left"/>
        <w:rPr>
          <w:sz w:val="24"/>
          <w:highlight w:val="none"/>
        </w:rPr>
      </w:pPr>
      <w:r>
        <w:rPr>
          <w:sz w:val="24"/>
          <w:highlight w:val="none"/>
        </w:rPr>
        <w:t>身份证号码：</w:t>
      </w:r>
    </w:p>
    <w:p w14:paraId="34CC0170">
      <w:pPr>
        <w:spacing w:line="400" w:lineRule="atLeast"/>
        <w:ind w:firstLine="4108" w:firstLineChars="1712"/>
        <w:jc w:val="left"/>
        <w:rPr>
          <w:sz w:val="24"/>
          <w:highlight w:val="none"/>
        </w:rPr>
      </w:pPr>
    </w:p>
    <w:p w14:paraId="115FE767">
      <w:pPr>
        <w:spacing w:line="400" w:lineRule="atLeast"/>
        <w:ind w:firstLine="4108" w:firstLineChars="1712"/>
        <w:jc w:val="left"/>
        <w:rPr>
          <w:sz w:val="24"/>
          <w:highlight w:val="none"/>
        </w:rPr>
      </w:pPr>
      <w:r>
        <w:rPr>
          <w:sz w:val="24"/>
          <w:highlight w:val="none"/>
        </w:rPr>
        <w:t>委托代理人：（签名）</w:t>
      </w:r>
    </w:p>
    <w:p w14:paraId="273D195C">
      <w:pPr>
        <w:spacing w:line="400" w:lineRule="atLeast"/>
        <w:ind w:firstLine="4108" w:firstLineChars="1712"/>
        <w:jc w:val="left"/>
        <w:rPr>
          <w:sz w:val="24"/>
          <w:highlight w:val="none"/>
        </w:rPr>
      </w:pPr>
    </w:p>
    <w:p w14:paraId="6E02A813">
      <w:pPr>
        <w:spacing w:line="400" w:lineRule="atLeast"/>
        <w:ind w:firstLine="4108" w:firstLineChars="1712"/>
        <w:jc w:val="left"/>
        <w:rPr>
          <w:sz w:val="24"/>
          <w:highlight w:val="none"/>
        </w:rPr>
      </w:pPr>
      <w:r>
        <w:rPr>
          <w:sz w:val="24"/>
          <w:highlight w:val="none"/>
        </w:rPr>
        <w:t>身份证号码：</w:t>
      </w:r>
    </w:p>
    <w:p w14:paraId="76F6CFF1">
      <w:pPr>
        <w:spacing w:line="400" w:lineRule="atLeast"/>
        <w:ind w:firstLine="3595" w:firstLineChars="1712"/>
        <w:jc w:val="left"/>
        <w:rPr>
          <w:szCs w:val="21"/>
          <w:highlight w:val="none"/>
        </w:rPr>
      </w:pPr>
    </w:p>
    <w:p w14:paraId="7594583E">
      <w:pPr>
        <w:spacing w:line="400" w:lineRule="atLeast"/>
        <w:ind w:firstLine="4468" w:firstLineChars="1862"/>
        <w:jc w:val="left"/>
        <w:rPr>
          <w:sz w:val="24"/>
          <w:highlight w:val="none"/>
        </w:rPr>
      </w:pPr>
      <w:r>
        <w:rPr>
          <w:sz w:val="24"/>
          <w:highlight w:val="none"/>
        </w:rPr>
        <w:t>年   月   日</w:t>
      </w:r>
    </w:p>
    <w:p w14:paraId="570A40ED">
      <w:pPr>
        <w:ind w:firstLine="420"/>
        <w:rPr>
          <w:highlight w:val="none"/>
        </w:rPr>
      </w:pPr>
      <w:r>
        <w:rPr>
          <w:highlight w:val="none"/>
        </w:rPr>
        <w:br w:type="page"/>
      </w:r>
    </w:p>
    <w:p w14:paraId="3F69AE6C">
      <w:pPr>
        <w:pStyle w:val="5"/>
        <w:spacing w:line="400" w:lineRule="atLeast"/>
        <w:ind w:firstLine="0" w:firstLineChars="0"/>
        <w:jc w:val="center"/>
        <w:rPr>
          <w:rFonts w:ascii="Times New Roman" w:hAnsi="Times New Roman"/>
          <w:b w:val="0"/>
          <w:highlight w:val="none"/>
        </w:rPr>
      </w:pPr>
      <w:bookmarkStart w:id="272" w:name="_Toc31535"/>
      <w:bookmarkStart w:id="273" w:name="_Toc22405"/>
      <w:bookmarkStart w:id="274" w:name="_Toc19274"/>
      <w:bookmarkStart w:id="275" w:name="_Toc2731"/>
      <w:r>
        <w:rPr>
          <w:rFonts w:hint="eastAsia" w:ascii="Times New Roman" w:hAnsi="Times New Roman"/>
          <w:b w:val="0"/>
          <w:highlight w:val="none"/>
          <w:lang w:val="en-US" w:eastAsia="zh-CN"/>
        </w:rPr>
        <w:t>五</w:t>
      </w:r>
      <w:r>
        <w:rPr>
          <w:rFonts w:ascii="Times New Roman" w:hAnsi="Times New Roman"/>
          <w:b w:val="0"/>
          <w:highlight w:val="none"/>
        </w:rPr>
        <w:t>、供应商承诺书</w:t>
      </w:r>
      <w:bookmarkEnd w:id="272"/>
      <w:bookmarkEnd w:id="273"/>
      <w:bookmarkEnd w:id="274"/>
      <w:bookmarkEnd w:id="275"/>
    </w:p>
    <w:p w14:paraId="54553568">
      <w:pPr>
        <w:spacing w:line="400" w:lineRule="atLeast"/>
        <w:ind w:firstLine="0" w:firstLineChars="0"/>
        <w:rPr>
          <w:sz w:val="24"/>
          <w:highlight w:val="none"/>
        </w:rPr>
      </w:pPr>
      <w:r>
        <w:rPr>
          <w:sz w:val="24"/>
          <w:highlight w:val="none"/>
        </w:rPr>
        <w:t>致：</w:t>
      </w:r>
      <w:r>
        <w:rPr>
          <w:sz w:val="24"/>
          <w:highlight w:val="none"/>
          <w:u w:val="single"/>
        </w:rPr>
        <w:t>（采购人名称）</w:t>
      </w:r>
    </w:p>
    <w:p w14:paraId="63EEBE41">
      <w:pPr>
        <w:adjustRightInd w:val="0"/>
        <w:snapToGrid w:val="0"/>
        <w:ind w:firstLine="480"/>
        <w:rPr>
          <w:sz w:val="24"/>
          <w:highlight w:val="none"/>
        </w:rPr>
      </w:pPr>
      <w:r>
        <w:rPr>
          <w:sz w:val="24"/>
          <w:highlight w:val="none"/>
        </w:rPr>
        <w:t>本人</w:t>
      </w:r>
      <w:r>
        <w:rPr>
          <w:sz w:val="24"/>
          <w:highlight w:val="none"/>
          <w:u w:val="single"/>
        </w:rPr>
        <w:t xml:space="preserve">         </w:t>
      </w:r>
      <w:r>
        <w:rPr>
          <w:sz w:val="24"/>
          <w:highlight w:val="none"/>
        </w:rPr>
        <w:t>（姓名）以</w:t>
      </w:r>
      <w:r>
        <w:rPr>
          <w:sz w:val="24"/>
          <w:highlight w:val="none"/>
          <w:u w:val="single"/>
        </w:rPr>
        <w:t xml:space="preserve">                        </w:t>
      </w:r>
      <w:r>
        <w:rPr>
          <w:sz w:val="24"/>
          <w:highlight w:val="none"/>
        </w:rPr>
        <w:t>（单位名称）</w:t>
      </w:r>
      <w:r>
        <w:rPr>
          <w:rFonts w:hint="eastAsia"/>
          <w:sz w:val="24"/>
          <w:highlight w:val="none"/>
        </w:rPr>
        <w:t>法定代表人（或分/支公司负责人）</w:t>
      </w:r>
      <w:r>
        <w:rPr>
          <w:sz w:val="24"/>
          <w:highlight w:val="none"/>
        </w:rPr>
        <w:t>的资格，郑重承诺：</w:t>
      </w:r>
    </w:p>
    <w:p w14:paraId="5905BDE5">
      <w:pPr>
        <w:spacing w:line="440" w:lineRule="exact"/>
        <w:ind w:firstLine="480"/>
        <w:jc w:val="left"/>
        <w:rPr>
          <w:kern w:val="0"/>
          <w:sz w:val="24"/>
          <w:highlight w:val="none"/>
        </w:rPr>
      </w:pPr>
      <w:r>
        <w:rPr>
          <w:kern w:val="0"/>
          <w:sz w:val="24"/>
          <w:highlight w:val="none"/>
        </w:rPr>
        <w:t>1.</w:t>
      </w:r>
      <w:r>
        <w:rPr>
          <w:sz w:val="24"/>
          <w:highlight w:val="none"/>
        </w:rPr>
        <w:t>我单位不存在谈判文件第二章“供应商须知”第1.4.3项规定的任何一种情形。</w:t>
      </w:r>
    </w:p>
    <w:p w14:paraId="4C52E4D0">
      <w:pPr>
        <w:spacing w:line="440" w:lineRule="exact"/>
        <w:ind w:firstLine="480"/>
        <w:jc w:val="left"/>
        <w:rPr>
          <w:sz w:val="24"/>
          <w:highlight w:val="none"/>
        </w:rPr>
      </w:pPr>
      <w:r>
        <w:rPr>
          <w:kern w:val="0"/>
          <w:sz w:val="24"/>
          <w:highlight w:val="none"/>
        </w:rPr>
        <w:t>2.我单位未被有关部门限制在采购项目所在地承接项目的</w:t>
      </w:r>
      <w:r>
        <w:rPr>
          <w:rFonts w:hint="eastAsia"/>
          <w:kern w:val="0"/>
          <w:sz w:val="24"/>
          <w:highlight w:val="none"/>
        </w:rPr>
        <w:t>。</w:t>
      </w:r>
    </w:p>
    <w:p w14:paraId="2320EB9C">
      <w:pPr>
        <w:spacing w:line="440" w:lineRule="exact"/>
        <w:ind w:firstLine="480"/>
        <w:jc w:val="left"/>
        <w:rPr>
          <w:kern w:val="0"/>
          <w:sz w:val="24"/>
          <w:highlight w:val="none"/>
        </w:rPr>
      </w:pPr>
      <w:r>
        <w:rPr>
          <w:kern w:val="0"/>
          <w:sz w:val="24"/>
          <w:highlight w:val="none"/>
        </w:rPr>
        <w:t>3.我单位未被列为失信被执行人。</w:t>
      </w:r>
    </w:p>
    <w:p w14:paraId="69ABE72D">
      <w:pPr>
        <w:spacing w:line="440" w:lineRule="exact"/>
        <w:ind w:firstLine="480"/>
        <w:jc w:val="left"/>
        <w:rPr>
          <w:kern w:val="0"/>
          <w:sz w:val="24"/>
          <w:highlight w:val="none"/>
        </w:rPr>
      </w:pPr>
      <w:r>
        <w:rPr>
          <w:rFonts w:hint="eastAsia"/>
          <w:kern w:val="0"/>
          <w:sz w:val="24"/>
          <w:highlight w:val="none"/>
        </w:rPr>
        <w:t>4.在本项目谈判过程中不存在挂靠、串通投标的情况。</w:t>
      </w:r>
    </w:p>
    <w:p w14:paraId="6F5D3B03">
      <w:pPr>
        <w:spacing w:line="440" w:lineRule="exact"/>
        <w:ind w:firstLine="480" w:firstLineChars="0"/>
        <w:jc w:val="left"/>
        <w:rPr>
          <w:color w:val="000000"/>
          <w:kern w:val="0"/>
          <w:sz w:val="24"/>
          <w:highlight w:val="none"/>
        </w:rPr>
      </w:pPr>
      <w:r>
        <w:rPr>
          <w:rFonts w:hint="eastAsia"/>
          <w:color w:val="000000"/>
          <w:kern w:val="0"/>
          <w:sz w:val="24"/>
          <w:highlight w:val="none"/>
        </w:rPr>
        <w:t>5.我单位</w:t>
      </w:r>
      <w:r>
        <w:rPr>
          <w:rFonts w:hint="eastAsia"/>
          <w:color w:val="000000"/>
          <w:kern w:val="0"/>
          <w:sz w:val="24"/>
          <w:highlight w:val="none"/>
          <w:u w:val="single"/>
        </w:rPr>
        <w:t xml:space="preserve">               </w:t>
      </w:r>
      <w:r>
        <w:rPr>
          <w:rFonts w:hint="eastAsia"/>
          <w:color w:val="000000"/>
          <w:kern w:val="0"/>
          <w:sz w:val="24"/>
          <w:highlight w:val="none"/>
        </w:rPr>
        <w:t>、法定代表人（或分/支公司负责人）</w:t>
      </w:r>
      <w:r>
        <w:rPr>
          <w:rFonts w:hint="eastAsia"/>
          <w:color w:val="000000"/>
          <w:kern w:val="0"/>
          <w:sz w:val="24"/>
          <w:highlight w:val="none"/>
          <w:u w:val="single"/>
        </w:rPr>
        <w:t xml:space="preserve">         </w:t>
      </w:r>
      <w:r>
        <w:rPr>
          <w:rFonts w:hint="eastAsia"/>
          <w:color w:val="000000"/>
          <w:kern w:val="0"/>
          <w:sz w:val="24"/>
          <w:highlight w:val="none"/>
        </w:rPr>
        <w:t>、拟派项目负责人（与响应函项目负责人保持一致）</w:t>
      </w:r>
      <w:r>
        <w:rPr>
          <w:rFonts w:hint="eastAsia"/>
          <w:color w:val="000000"/>
          <w:kern w:val="0"/>
          <w:sz w:val="24"/>
          <w:highlight w:val="none"/>
          <w:u w:val="single"/>
        </w:rPr>
        <w:t xml:space="preserve">          </w:t>
      </w:r>
      <w:r>
        <w:rPr>
          <w:rFonts w:hint="eastAsia"/>
          <w:color w:val="000000"/>
          <w:kern w:val="0"/>
          <w:sz w:val="24"/>
          <w:highlight w:val="none"/>
        </w:rPr>
        <w:t>近5年无行贿犯罪记录。</w:t>
      </w:r>
    </w:p>
    <w:p w14:paraId="45820D4D">
      <w:pPr>
        <w:spacing w:line="440" w:lineRule="exact"/>
        <w:ind w:firstLine="480" w:firstLineChars="0"/>
        <w:jc w:val="left"/>
        <w:rPr>
          <w:color w:val="000000"/>
          <w:kern w:val="0"/>
          <w:sz w:val="24"/>
          <w:highlight w:val="none"/>
        </w:rPr>
      </w:pPr>
      <w:r>
        <w:rPr>
          <w:rFonts w:hint="eastAsia"/>
          <w:color w:val="000000"/>
          <w:kern w:val="0"/>
          <w:sz w:val="24"/>
          <w:highlight w:val="none"/>
        </w:rPr>
        <w:t>6.我单位</w:t>
      </w:r>
      <w:r>
        <w:rPr>
          <w:rFonts w:hint="eastAsia"/>
          <w:color w:val="000000"/>
          <w:kern w:val="0"/>
          <w:sz w:val="24"/>
          <w:highlight w:val="none"/>
          <w:u w:val="single"/>
        </w:rPr>
        <w:t xml:space="preserve">                 </w:t>
      </w:r>
      <w:r>
        <w:rPr>
          <w:rFonts w:hint="eastAsia"/>
          <w:color w:val="000000"/>
          <w:kern w:val="0"/>
          <w:sz w:val="24"/>
          <w:highlight w:val="none"/>
        </w:rPr>
        <w:t>（含法定代表人（或分/支公司负责人）、股东、高管、拟派本采购项目的项目负责人）不存在向</w:t>
      </w:r>
      <w:r>
        <w:rPr>
          <w:rFonts w:hint="eastAsia"/>
          <w:color w:val="000000"/>
          <w:kern w:val="0"/>
          <w:sz w:val="24"/>
          <w:highlight w:val="none"/>
          <w:u w:val="single"/>
        </w:rPr>
        <w:t xml:space="preserve">   （采购人名称）     </w:t>
      </w:r>
      <w:r>
        <w:rPr>
          <w:rFonts w:hint="eastAsia"/>
          <w:color w:val="000000"/>
          <w:kern w:val="0"/>
          <w:sz w:val="24"/>
          <w:highlight w:val="none"/>
        </w:rPr>
        <w:t>（含连云港徐圩港扣控股集团有限公司及子公司）工作人员行贿行为。</w:t>
      </w:r>
    </w:p>
    <w:p w14:paraId="0EE1B62E">
      <w:pPr>
        <w:pStyle w:val="60"/>
        <w:ind w:firstLine="482"/>
        <w:rPr>
          <w:b/>
          <w:bCs/>
          <w:color w:val="auto"/>
          <w:highlight w:val="none"/>
        </w:rPr>
      </w:pPr>
      <w:r>
        <w:rPr>
          <w:rFonts w:hint="eastAsia"/>
          <w:b/>
          <w:bCs/>
          <w:color w:val="auto"/>
          <w:kern w:val="0"/>
          <w:sz w:val="24"/>
          <w:highlight w:val="none"/>
          <w:lang w:val="en-US" w:eastAsia="zh-CN"/>
        </w:rPr>
        <w:t>7</w:t>
      </w:r>
      <w:r>
        <w:rPr>
          <w:rFonts w:hint="eastAsia"/>
          <w:b/>
          <w:bCs/>
          <w:color w:val="auto"/>
          <w:kern w:val="0"/>
          <w:sz w:val="24"/>
          <w:highlight w:val="none"/>
        </w:rPr>
        <w:t>.我单位承诺在成交后不以任何方式进行转包或分包。</w:t>
      </w:r>
    </w:p>
    <w:p w14:paraId="240A09CC">
      <w:pPr>
        <w:spacing w:line="440" w:lineRule="exact"/>
        <w:ind w:firstLine="480"/>
        <w:jc w:val="left"/>
        <w:rPr>
          <w:color w:val="auto"/>
          <w:kern w:val="0"/>
          <w:sz w:val="24"/>
          <w:highlight w:val="none"/>
        </w:rPr>
      </w:pPr>
      <w:r>
        <w:rPr>
          <w:rFonts w:hint="eastAsia"/>
          <w:color w:val="auto"/>
          <w:kern w:val="0"/>
          <w:sz w:val="24"/>
          <w:highlight w:val="none"/>
        </w:rPr>
        <w:t>综上，我单位在本次采购活动全过程出示的文件资料均是真实、有效的，</w:t>
      </w:r>
      <w:r>
        <w:rPr>
          <w:rFonts w:hint="eastAsia"/>
          <w:b/>
          <w:bCs/>
          <w:color w:val="auto"/>
          <w:kern w:val="0"/>
          <w:sz w:val="24"/>
          <w:highlight w:val="none"/>
        </w:rPr>
        <w:t>我单位承诺如有虚假，愿意无条件接受</w:t>
      </w:r>
      <w:r>
        <w:rPr>
          <w:rFonts w:hint="eastAsia"/>
          <w:color w:val="auto"/>
          <w:kern w:val="0"/>
          <w:sz w:val="24"/>
          <w:highlight w:val="none"/>
        </w:rPr>
        <w:t>被取消取消谈判/磋商、成交或成交（候选人）资格、谈判/磋商保证</w:t>
      </w:r>
      <w:r>
        <w:rPr>
          <w:rFonts w:hint="eastAsia"/>
          <w:b w:val="0"/>
          <w:bCs w:val="0"/>
          <w:color w:val="auto"/>
          <w:kern w:val="0"/>
          <w:sz w:val="24"/>
          <w:highlight w:val="none"/>
        </w:rPr>
        <w:t>金不予退还、履约保证金不予退还、已</w:t>
      </w:r>
      <w:r>
        <w:rPr>
          <w:rFonts w:hint="eastAsia"/>
          <w:color w:val="auto"/>
          <w:kern w:val="0"/>
          <w:sz w:val="24"/>
          <w:highlight w:val="none"/>
        </w:rPr>
        <w:t>经签订合同的合同解除及清除出场，一切损失由我单位自行承担，自愿接受限制我单位 6-12 个月参与港控集团及子司采购活动及其他相关处罚，特此承诺！</w:t>
      </w:r>
    </w:p>
    <w:p w14:paraId="54FF13E2">
      <w:pPr>
        <w:spacing w:line="400" w:lineRule="atLeast"/>
        <w:ind w:firstLine="480"/>
        <w:rPr>
          <w:sz w:val="24"/>
          <w:highlight w:val="none"/>
        </w:rPr>
      </w:pPr>
    </w:p>
    <w:p w14:paraId="26805FA1">
      <w:pPr>
        <w:spacing w:line="480" w:lineRule="auto"/>
        <w:ind w:firstLine="4108" w:firstLineChars="1712"/>
        <w:rPr>
          <w:sz w:val="24"/>
          <w:highlight w:val="none"/>
        </w:rPr>
      </w:pPr>
      <w:r>
        <w:rPr>
          <w:sz w:val="24"/>
          <w:highlight w:val="none"/>
        </w:rPr>
        <w:t>供应商：（单位公章）</w:t>
      </w:r>
    </w:p>
    <w:p w14:paraId="2277079D">
      <w:pPr>
        <w:spacing w:line="480" w:lineRule="auto"/>
        <w:ind w:firstLine="4108" w:firstLineChars="1712"/>
        <w:rPr>
          <w:sz w:val="24"/>
          <w:highlight w:val="none"/>
        </w:rPr>
      </w:pPr>
      <w:r>
        <w:rPr>
          <w:rFonts w:hint="eastAsia"/>
          <w:sz w:val="24"/>
          <w:highlight w:val="none"/>
        </w:rPr>
        <w:t>法定代表人（或分/支公司负责人）</w:t>
      </w:r>
      <w:r>
        <w:rPr>
          <w:sz w:val="24"/>
          <w:highlight w:val="none"/>
        </w:rPr>
        <w:t>：</w:t>
      </w:r>
    </w:p>
    <w:p w14:paraId="5119F02B">
      <w:pPr>
        <w:spacing w:line="480" w:lineRule="auto"/>
        <w:ind w:firstLine="4108" w:firstLineChars="1712"/>
        <w:rPr>
          <w:sz w:val="24"/>
          <w:highlight w:val="none"/>
        </w:rPr>
      </w:pPr>
      <w:r>
        <w:rPr>
          <w:sz w:val="24"/>
          <w:highlight w:val="none"/>
        </w:rPr>
        <w:t>（签名或盖章）</w:t>
      </w:r>
    </w:p>
    <w:p w14:paraId="6B1F8712">
      <w:pPr>
        <w:spacing w:line="480" w:lineRule="auto"/>
        <w:ind w:firstLine="4108" w:firstLineChars="1712"/>
        <w:rPr>
          <w:sz w:val="24"/>
          <w:highlight w:val="none"/>
        </w:rPr>
      </w:pPr>
      <w:r>
        <w:rPr>
          <w:sz w:val="24"/>
          <w:highlight w:val="none"/>
        </w:rPr>
        <w:t>委托</w:t>
      </w:r>
      <w:r>
        <w:rPr>
          <w:rFonts w:hint="eastAsia"/>
          <w:sz w:val="24"/>
          <w:highlight w:val="none"/>
          <w:lang w:val="en-US" w:eastAsia="zh-CN"/>
        </w:rPr>
        <w:t>代理人</w:t>
      </w:r>
      <w:r>
        <w:rPr>
          <w:sz w:val="24"/>
          <w:highlight w:val="none"/>
        </w:rPr>
        <w:t>：（签名）</w:t>
      </w:r>
    </w:p>
    <w:p w14:paraId="5F5EB7A6">
      <w:pPr>
        <w:spacing w:line="480" w:lineRule="auto"/>
        <w:ind w:firstLine="4108" w:firstLineChars="1712"/>
        <w:rPr>
          <w:sz w:val="24"/>
          <w:highlight w:val="none"/>
        </w:rPr>
      </w:pPr>
      <w:r>
        <w:rPr>
          <w:sz w:val="24"/>
          <w:highlight w:val="none"/>
        </w:rPr>
        <w:t>日期：   年   月   日</w:t>
      </w:r>
    </w:p>
    <w:p w14:paraId="4FB84434">
      <w:pPr>
        <w:ind w:firstLine="480"/>
        <w:rPr>
          <w:sz w:val="24"/>
          <w:highlight w:val="none"/>
        </w:rPr>
      </w:pPr>
      <w:r>
        <w:rPr>
          <w:sz w:val="24"/>
          <w:highlight w:val="none"/>
        </w:rPr>
        <w:br w:type="page"/>
      </w:r>
    </w:p>
    <w:bookmarkEnd w:id="266"/>
    <w:bookmarkEnd w:id="267"/>
    <w:bookmarkEnd w:id="268"/>
    <w:bookmarkEnd w:id="269"/>
    <w:bookmarkEnd w:id="270"/>
    <w:bookmarkEnd w:id="271"/>
    <w:p w14:paraId="6B1D641E">
      <w:pPr>
        <w:pStyle w:val="5"/>
        <w:spacing w:line="400" w:lineRule="atLeast"/>
        <w:ind w:firstLine="0" w:firstLineChars="0"/>
        <w:jc w:val="center"/>
        <w:rPr>
          <w:rFonts w:ascii="Times New Roman" w:hAnsi="Times New Roman"/>
          <w:b w:val="0"/>
          <w:highlight w:val="none"/>
        </w:rPr>
      </w:pPr>
      <w:bookmarkStart w:id="276" w:name="_Toc25163"/>
      <w:bookmarkStart w:id="277" w:name="_Toc17003"/>
      <w:bookmarkStart w:id="278" w:name="_Toc611"/>
      <w:bookmarkStart w:id="279" w:name="_Toc4094"/>
      <w:bookmarkStart w:id="280" w:name="_Toc152045796"/>
      <w:bookmarkStart w:id="281" w:name="_Toc144974864"/>
      <w:bookmarkStart w:id="282" w:name="_Toc247514288"/>
      <w:bookmarkStart w:id="283" w:name="_Toc152042585"/>
      <w:bookmarkStart w:id="284" w:name="_Toc443200899"/>
      <w:bookmarkStart w:id="285" w:name="_Toc247527836"/>
      <w:r>
        <w:rPr>
          <w:rFonts w:hint="eastAsia" w:ascii="Times New Roman" w:hAnsi="Times New Roman"/>
          <w:b w:val="0"/>
          <w:highlight w:val="none"/>
          <w:lang w:val="en-US" w:eastAsia="zh-CN"/>
        </w:rPr>
        <w:t>六</w:t>
      </w:r>
      <w:r>
        <w:rPr>
          <w:rFonts w:ascii="Times New Roman" w:hAnsi="Times New Roman"/>
          <w:b w:val="0"/>
          <w:highlight w:val="none"/>
        </w:rPr>
        <w:t>、供应商基本情况表</w:t>
      </w:r>
      <w:bookmarkEnd w:id="276"/>
      <w:bookmarkEnd w:id="277"/>
      <w:bookmarkEnd w:id="278"/>
      <w:bookmarkEnd w:id="279"/>
    </w:p>
    <w:tbl>
      <w:tblPr>
        <w:tblStyle w:val="4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7"/>
        <w:gridCol w:w="1029"/>
        <w:gridCol w:w="621"/>
        <w:gridCol w:w="1267"/>
        <w:gridCol w:w="326"/>
        <w:gridCol w:w="1331"/>
        <w:gridCol w:w="720"/>
        <w:gridCol w:w="1718"/>
      </w:tblGrid>
      <w:tr w14:paraId="36886DD1">
        <w:tblPrEx>
          <w:tblCellMar>
            <w:top w:w="0" w:type="dxa"/>
            <w:left w:w="108" w:type="dxa"/>
            <w:bottom w:w="0" w:type="dxa"/>
            <w:right w:w="108" w:type="dxa"/>
          </w:tblCellMar>
        </w:tblPrEx>
        <w:trPr>
          <w:trHeight w:val="567" w:hRule="atLeast"/>
          <w:jc w:val="center"/>
        </w:trPr>
        <w:tc>
          <w:tcPr>
            <w:tcW w:w="890" w:type="pct"/>
            <w:vAlign w:val="center"/>
          </w:tcPr>
          <w:p w14:paraId="6196BBF2">
            <w:pPr>
              <w:spacing w:line="400" w:lineRule="atLeast"/>
              <w:ind w:firstLine="0" w:firstLineChars="0"/>
              <w:jc w:val="center"/>
              <w:rPr>
                <w:sz w:val="24"/>
                <w:highlight w:val="none"/>
              </w:rPr>
            </w:pPr>
            <w:r>
              <w:rPr>
                <w:sz w:val="24"/>
                <w:highlight w:val="none"/>
              </w:rPr>
              <w:t>供应商名称</w:t>
            </w:r>
          </w:p>
        </w:tc>
        <w:tc>
          <w:tcPr>
            <w:tcW w:w="4110" w:type="pct"/>
            <w:gridSpan w:val="7"/>
            <w:vAlign w:val="center"/>
          </w:tcPr>
          <w:p w14:paraId="6EB5263A">
            <w:pPr>
              <w:spacing w:line="400" w:lineRule="atLeast"/>
              <w:ind w:firstLine="0" w:firstLineChars="0"/>
              <w:jc w:val="center"/>
              <w:rPr>
                <w:sz w:val="24"/>
                <w:highlight w:val="none"/>
              </w:rPr>
            </w:pPr>
          </w:p>
        </w:tc>
      </w:tr>
      <w:tr w14:paraId="06F3F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90" w:type="pct"/>
            <w:vAlign w:val="center"/>
          </w:tcPr>
          <w:p w14:paraId="2AE9B063">
            <w:pPr>
              <w:spacing w:line="400" w:lineRule="atLeast"/>
              <w:ind w:firstLine="0" w:firstLineChars="0"/>
              <w:jc w:val="center"/>
              <w:rPr>
                <w:sz w:val="24"/>
                <w:highlight w:val="none"/>
              </w:rPr>
            </w:pPr>
            <w:r>
              <w:rPr>
                <w:sz w:val="24"/>
                <w:highlight w:val="none"/>
              </w:rPr>
              <w:t>注册地址</w:t>
            </w:r>
          </w:p>
        </w:tc>
        <w:tc>
          <w:tcPr>
            <w:tcW w:w="1901" w:type="pct"/>
            <w:gridSpan w:val="4"/>
            <w:vAlign w:val="center"/>
          </w:tcPr>
          <w:p w14:paraId="6220880D">
            <w:pPr>
              <w:spacing w:line="400" w:lineRule="atLeast"/>
              <w:ind w:firstLine="0" w:firstLineChars="0"/>
              <w:jc w:val="center"/>
              <w:rPr>
                <w:sz w:val="24"/>
                <w:highlight w:val="none"/>
              </w:rPr>
            </w:pPr>
          </w:p>
        </w:tc>
        <w:tc>
          <w:tcPr>
            <w:tcW w:w="780" w:type="pct"/>
            <w:vAlign w:val="center"/>
          </w:tcPr>
          <w:p w14:paraId="15103C82">
            <w:pPr>
              <w:spacing w:line="400" w:lineRule="atLeast"/>
              <w:ind w:firstLine="0" w:firstLineChars="0"/>
              <w:jc w:val="center"/>
              <w:rPr>
                <w:sz w:val="24"/>
                <w:highlight w:val="none"/>
              </w:rPr>
            </w:pPr>
            <w:r>
              <w:rPr>
                <w:sz w:val="24"/>
                <w:highlight w:val="none"/>
              </w:rPr>
              <w:t>邮政编码</w:t>
            </w:r>
          </w:p>
        </w:tc>
        <w:tc>
          <w:tcPr>
            <w:tcW w:w="1429" w:type="pct"/>
            <w:gridSpan w:val="2"/>
            <w:vAlign w:val="center"/>
          </w:tcPr>
          <w:p w14:paraId="2AEDFC47">
            <w:pPr>
              <w:spacing w:line="400" w:lineRule="atLeast"/>
              <w:ind w:firstLine="0" w:firstLineChars="0"/>
              <w:jc w:val="center"/>
              <w:rPr>
                <w:sz w:val="24"/>
                <w:highlight w:val="none"/>
              </w:rPr>
            </w:pPr>
          </w:p>
        </w:tc>
      </w:tr>
      <w:tr w14:paraId="261C7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90" w:type="pct"/>
            <w:vMerge w:val="restart"/>
            <w:vAlign w:val="center"/>
          </w:tcPr>
          <w:p w14:paraId="58D7F7E8">
            <w:pPr>
              <w:spacing w:line="400" w:lineRule="atLeast"/>
              <w:ind w:firstLine="0" w:firstLineChars="0"/>
              <w:jc w:val="center"/>
              <w:rPr>
                <w:sz w:val="24"/>
                <w:highlight w:val="none"/>
              </w:rPr>
            </w:pPr>
            <w:r>
              <w:rPr>
                <w:sz w:val="24"/>
                <w:highlight w:val="none"/>
              </w:rPr>
              <w:t>联系方式</w:t>
            </w:r>
          </w:p>
        </w:tc>
        <w:tc>
          <w:tcPr>
            <w:tcW w:w="603" w:type="pct"/>
            <w:vAlign w:val="center"/>
          </w:tcPr>
          <w:p w14:paraId="704E555F">
            <w:pPr>
              <w:spacing w:line="400" w:lineRule="atLeast"/>
              <w:ind w:firstLine="0" w:firstLineChars="0"/>
              <w:jc w:val="center"/>
              <w:rPr>
                <w:sz w:val="24"/>
                <w:highlight w:val="none"/>
              </w:rPr>
            </w:pPr>
            <w:r>
              <w:rPr>
                <w:sz w:val="24"/>
                <w:highlight w:val="none"/>
              </w:rPr>
              <w:t>联系人</w:t>
            </w:r>
          </w:p>
        </w:tc>
        <w:tc>
          <w:tcPr>
            <w:tcW w:w="1297" w:type="pct"/>
            <w:gridSpan w:val="3"/>
            <w:vAlign w:val="center"/>
          </w:tcPr>
          <w:p w14:paraId="082E1267">
            <w:pPr>
              <w:spacing w:line="400" w:lineRule="atLeast"/>
              <w:ind w:firstLine="0" w:firstLineChars="0"/>
              <w:jc w:val="center"/>
              <w:rPr>
                <w:sz w:val="24"/>
                <w:highlight w:val="none"/>
              </w:rPr>
            </w:pPr>
          </w:p>
        </w:tc>
        <w:tc>
          <w:tcPr>
            <w:tcW w:w="780" w:type="pct"/>
            <w:vAlign w:val="center"/>
          </w:tcPr>
          <w:p w14:paraId="6A84BAAE">
            <w:pPr>
              <w:spacing w:line="400" w:lineRule="atLeast"/>
              <w:ind w:firstLine="0" w:firstLineChars="0"/>
              <w:jc w:val="center"/>
              <w:rPr>
                <w:sz w:val="24"/>
                <w:highlight w:val="none"/>
              </w:rPr>
            </w:pPr>
            <w:r>
              <w:rPr>
                <w:sz w:val="24"/>
                <w:highlight w:val="none"/>
              </w:rPr>
              <w:t>电话</w:t>
            </w:r>
          </w:p>
        </w:tc>
        <w:tc>
          <w:tcPr>
            <w:tcW w:w="1429" w:type="pct"/>
            <w:gridSpan w:val="2"/>
            <w:vAlign w:val="center"/>
          </w:tcPr>
          <w:p w14:paraId="00FA8712">
            <w:pPr>
              <w:spacing w:line="400" w:lineRule="atLeast"/>
              <w:ind w:firstLine="0" w:firstLineChars="0"/>
              <w:jc w:val="center"/>
              <w:rPr>
                <w:sz w:val="24"/>
                <w:highlight w:val="none"/>
              </w:rPr>
            </w:pPr>
          </w:p>
        </w:tc>
      </w:tr>
      <w:tr w14:paraId="790CD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90" w:type="pct"/>
            <w:vMerge w:val="continue"/>
            <w:vAlign w:val="center"/>
          </w:tcPr>
          <w:p w14:paraId="2D702962">
            <w:pPr>
              <w:spacing w:line="400" w:lineRule="atLeast"/>
              <w:ind w:firstLine="0" w:firstLineChars="0"/>
              <w:jc w:val="center"/>
              <w:rPr>
                <w:sz w:val="24"/>
                <w:highlight w:val="none"/>
              </w:rPr>
            </w:pPr>
          </w:p>
        </w:tc>
        <w:tc>
          <w:tcPr>
            <w:tcW w:w="603" w:type="pct"/>
            <w:vAlign w:val="center"/>
          </w:tcPr>
          <w:p w14:paraId="42F0700D">
            <w:pPr>
              <w:spacing w:line="400" w:lineRule="atLeast"/>
              <w:ind w:firstLine="0" w:firstLineChars="0"/>
              <w:jc w:val="center"/>
              <w:rPr>
                <w:sz w:val="24"/>
                <w:highlight w:val="none"/>
              </w:rPr>
            </w:pPr>
            <w:r>
              <w:rPr>
                <w:sz w:val="24"/>
                <w:highlight w:val="none"/>
              </w:rPr>
              <w:t>传真</w:t>
            </w:r>
          </w:p>
        </w:tc>
        <w:tc>
          <w:tcPr>
            <w:tcW w:w="1297" w:type="pct"/>
            <w:gridSpan w:val="3"/>
            <w:vAlign w:val="center"/>
          </w:tcPr>
          <w:p w14:paraId="1D0783F2">
            <w:pPr>
              <w:spacing w:line="400" w:lineRule="atLeast"/>
              <w:ind w:firstLine="0" w:firstLineChars="0"/>
              <w:jc w:val="center"/>
              <w:rPr>
                <w:sz w:val="24"/>
                <w:highlight w:val="none"/>
              </w:rPr>
            </w:pPr>
          </w:p>
        </w:tc>
        <w:tc>
          <w:tcPr>
            <w:tcW w:w="780" w:type="pct"/>
            <w:vAlign w:val="center"/>
          </w:tcPr>
          <w:p w14:paraId="445D9535">
            <w:pPr>
              <w:spacing w:line="400" w:lineRule="atLeast"/>
              <w:ind w:firstLine="0" w:firstLineChars="0"/>
              <w:jc w:val="center"/>
              <w:rPr>
                <w:sz w:val="24"/>
                <w:highlight w:val="none"/>
              </w:rPr>
            </w:pPr>
            <w:r>
              <w:rPr>
                <w:sz w:val="24"/>
                <w:highlight w:val="none"/>
              </w:rPr>
              <w:t>网址</w:t>
            </w:r>
          </w:p>
        </w:tc>
        <w:tc>
          <w:tcPr>
            <w:tcW w:w="1429" w:type="pct"/>
            <w:gridSpan w:val="2"/>
            <w:vAlign w:val="center"/>
          </w:tcPr>
          <w:p w14:paraId="5531F83B">
            <w:pPr>
              <w:spacing w:line="400" w:lineRule="atLeast"/>
              <w:ind w:firstLine="0" w:firstLineChars="0"/>
              <w:jc w:val="center"/>
              <w:rPr>
                <w:sz w:val="24"/>
                <w:highlight w:val="none"/>
              </w:rPr>
            </w:pPr>
          </w:p>
        </w:tc>
      </w:tr>
      <w:tr w14:paraId="44DEE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890" w:type="pct"/>
            <w:vAlign w:val="center"/>
          </w:tcPr>
          <w:p w14:paraId="7BCBA600">
            <w:pPr>
              <w:spacing w:line="400" w:lineRule="atLeast"/>
              <w:ind w:firstLine="0" w:firstLineChars="0"/>
              <w:jc w:val="center"/>
              <w:rPr>
                <w:sz w:val="24"/>
                <w:highlight w:val="none"/>
              </w:rPr>
            </w:pPr>
            <w:r>
              <w:rPr>
                <w:sz w:val="24"/>
                <w:highlight w:val="none"/>
              </w:rPr>
              <w:t>企业统一社会信用代码</w:t>
            </w:r>
          </w:p>
        </w:tc>
        <w:tc>
          <w:tcPr>
            <w:tcW w:w="4110" w:type="pct"/>
            <w:gridSpan w:val="7"/>
            <w:vAlign w:val="center"/>
          </w:tcPr>
          <w:p w14:paraId="4EAC58FE">
            <w:pPr>
              <w:spacing w:line="400" w:lineRule="atLeast"/>
              <w:ind w:firstLine="0" w:firstLineChars="0"/>
              <w:jc w:val="center"/>
              <w:rPr>
                <w:sz w:val="24"/>
                <w:highlight w:val="none"/>
              </w:rPr>
            </w:pPr>
          </w:p>
        </w:tc>
      </w:tr>
      <w:tr w14:paraId="45C8C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90" w:type="pct"/>
            <w:vAlign w:val="center"/>
          </w:tcPr>
          <w:p w14:paraId="3544C7D4">
            <w:pPr>
              <w:spacing w:line="400" w:lineRule="atLeast"/>
              <w:ind w:firstLine="0" w:firstLineChars="0"/>
              <w:jc w:val="center"/>
              <w:rPr>
                <w:sz w:val="24"/>
                <w:highlight w:val="none"/>
              </w:rPr>
            </w:pPr>
            <w:r>
              <w:rPr>
                <w:sz w:val="24"/>
                <w:highlight w:val="none"/>
              </w:rPr>
              <w:t>法定代表人</w:t>
            </w:r>
          </w:p>
        </w:tc>
        <w:tc>
          <w:tcPr>
            <w:tcW w:w="967" w:type="pct"/>
            <w:gridSpan w:val="2"/>
            <w:vAlign w:val="center"/>
          </w:tcPr>
          <w:p w14:paraId="2AB2E9B5">
            <w:pPr>
              <w:spacing w:line="400" w:lineRule="atLeast"/>
              <w:ind w:firstLine="0" w:firstLineChars="0"/>
              <w:jc w:val="center"/>
              <w:rPr>
                <w:sz w:val="24"/>
                <w:highlight w:val="none"/>
              </w:rPr>
            </w:pPr>
          </w:p>
        </w:tc>
        <w:tc>
          <w:tcPr>
            <w:tcW w:w="743" w:type="pct"/>
            <w:vAlign w:val="center"/>
          </w:tcPr>
          <w:p w14:paraId="2CBC887E">
            <w:pPr>
              <w:spacing w:line="400" w:lineRule="atLeast"/>
              <w:ind w:firstLine="0" w:firstLineChars="0"/>
              <w:jc w:val="center"/>
              <w:rPr>
                <w:sz w:val="24"/>
                <w:highlight w:val="none"/>
              </w:rPr>
            </w:pPr>
            <w:r>
              <w:rPr>
                <w:sz w:val="24"/>
                <w:highlight w:val="none"/>
              </w:rPr>
              <w:t>技术职称</w:t>
            </w:r>
          </w:p>
        </w:tc>
        <w:tc>
          <w:tcPr>
            <w:tcW w:w="971" w:type="pct"/>
            <w:gridSpan w:val="2"/>
            <w:vAlign w:val="center"/>
          </w:tcPr>
          <w:p w14:paraId="57CD050A">
            <w:pPr>
              <w:spacing w:line="400" w:lineRule="atLeast"/>
              <w:ind w:firstLine="0" w:firstLineChars="0"/>
              <w:jc w:val="center"/>
              <w:rPr>
                <w:sz w:val="24"/>
                <w:highlight w:val="none"/>
              </w:rPr>
            </w:pPr>
          </w:p>
        </w:tc>
        <w:tc>
          <w:tcPr>
            <w:tcW w:w="422" w:type="pct"/>
            <w:vAlign w:val="center"/>
          </w:tcPr>
          <w:p w14:paraId="6F474478">
            <w:pPr>
              <w:spacing w:line="400" w:lineRule="atLeast"/>
              <w:ind w:firstLine="0" w:firstLineChars="0"/>
              <w:jc w:val="center"/>
              <w:rPr>
                <w:sz w:val="24"/>
                <w:highlight w:val="none"/>
              </w:rPr>
            </w:pPr>
            <w:r>
              <w:rPr>
                <w:sz w:val="24"/>
                <w:highlight w:val="none"/>
              </w:rPr>
              <w:t>电话</w:t>
            </w:r>
          </w:p>
        </w:tc>
        <w:tc>
          <w:tcPr>
            <w:tcW w:w="1007" w:type="pct"/>
            <w:vAlign w:val="center"/>
          </w:tcPr>
          <w:p w14:paraId="1C1AA8C1">
            <w:pPr>
              <w:spacing w:line="400" w:lineRule="atLeast"/>
              <w:ind w:firstLine="0" w:firstLineChars="0"/>
              <w:jc w:val="center"/>
              <w:rPr>
                <w:sz w:val="24"/>
                <w:highlight w:val="none"/>
              </w:rPr>
            </w:pPr>
          </w:p>
        </w:tc>
      </w:tr>
      <w:tr w14:paraId="4A06B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90" w:type="pct"/>
            <w:vAlign w:val="center"/>
          </w:tcPr>
          <w:p w14:paraId="41EE2E32">
            <w:pPr>
              <w:spacing w:line="400" w:lineRule="atLeast"/>
              <w:ind w:firstLine="0" w:firstLineChars="0"/>
              <w:jc w:val="center"/>
              <w:rPr>
                <w:sz w:val="24"/>
                <w:highlight w:val="none"/>
              </w:rPr>
            </w:pPr>
            <w:r>
              <w:rPr>
                <w:sz w:val="24"/>
                <w:highlight w:val="none"/>
              </w:rPr>
              <w:t>技术负责人</w:t>
            </w:r>
          </w:p>
        </w:tc>
        <w:tc>
          <w:tcPr>
            <w:tcW w:w="967" w:type="pct"/>
            <w:gridSpan w:val="2"/>
            <w:vAlign w:val="center"/>
          </w:tcPr>
          <w:p w14:paraId="696F016A">
            <w:pPr>
              <w:spacing w:line="400" w:lineRule="atLeast"/>
              <w:ind w:firstLine="0" w:firstLineChars="0"/>
              <w:jc w:val="center"/>
              <w:rPr>
                <w:sz w:val="24"/>
                <w:highlight w:val="none"/>
              </w:rPr>
            </w:pPr>
          </w:p>
        </w:tc>
        <w:tc>
          <w:tcPr>
            <w:tcW w:w="743" w:type="pct"/>
            <w:vAlign w:val="center"/>
          </w:tcPr>
          <w:p w14:paraId="629623C3">
            <w:pPr>
              <w:spacing w:line="400" w:lineRule="atLeast"/>
              <w:ind w:firstLine="0" w:firstLineChars="0"/>
              <w:jc w:val="center"/>
              <w:rPr>
                <w:sz w:val="24"/>
                <w:highlight w:val="none"/>
              </w:rPr>
            </w:pPr>
            <w:r>
              <w:rPr>
                <w:sz w:val="24"/>
                <w:highlight w:val="none"/>
              </w:rPr>
              <w:t>技术职称</w:t>
            </w:r>
          </w:p>
        </w:tc>
        <w:tc>
          <w:tcPr>
            <w:tcW w:w="971" w:type="pct"/>
            <w:gridSpan w:val="2"/>
            <w:vAlign w:val="center"/>
          </w:tcPr>
          <w:p w14:paraId="34E6CB07">
            <w:pPr>
              <w:spacing w:line="400" w:lineRule="atLeast"/>
              <w:ind w:firstLine="0" w:firstLineChars="0"/>
              <w:jc w:val="center"/>
              <w:rPr>
                <w:sz w:val="24"/>
                <w:highlight w:val="none"/>
              </w:rPr>
            </w:pPr>
          </w:p>
        </w:tc>
        <w:tc>
          <w:tcPr>
            <w:tcW w:w="422" w:type="pct"/>
            <w:vAlign w:val="center"/>
          </w:tcPr>
          <w:p w14:paraId="1507A78F">
            <w:pPr>
              <w:spacing w:line="400" w:lineRule="atLeast"/>
              <w:ind w:firstLine="0" w:firstLineChars="0"/>
              <w:jc w:val="center"/>
              <w:rPr>
                <w:sz w:val="24"/>
                <w:highlight w:val="none"/>
              </w:rPr>
            </w:pPr>
            <w:r>
              <w:rPr>
                <w:sz w:val="24"/>
                <w:highlight w:val="none"/>
              </w:rPr>
              <w:t>电话</w:t>
            </w:r>
          </w:p>
        </w:tc>
        <w:tc>
          <w:tcPr>
            <w:tcW w:w="1007" w:type="pct"/>
            <w:vAlign w:val="center"/>
          </w:tcPr>
          <w:p w14:paraId="61B3CE85">
            <w:pPr>
              <w:spacing w:line="400" w:lineRule="atLeast"/>
              <w:ind w:firstLine="0" w:firstLineChars="0"/>
              <w:jc w:val="center"/>
              <w:rPr>
                <w:sz w:val="24"/>
                <w:highlight w:val="none"/>
              </w:rPr>
            </w:pPr>
          </w:p>
        </w:tc>
      </w:tr>
      <w:tr w14:paraId="53609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90" w:type="pct"/>
            <w:vAlign w:val="center"/>
          </w:tcPr>
          <w:p w14:paraId="7FF31C64">
            <w:pPr>
              <w:spacing w:line="400" w:lineRule="atLeast"/>
              <w:ind w:firstLine="0" w:firstLineChars="0"/>
              <w:jc w:val="center"/>
              <w:rPr>
                <w:sz w:val="24"/>
                <w:highlight w:val="none"/>
              </w:rPr>
            </w:pPr>
            <w:r>
              <w:rPr>
                <w:sz w:val="24"/>
                <w:highlight w:val="none"/>
              </w:rPr>
              <w:t>成立时间</w:t>
            </w:r>
          </w:p>
        </w:tc>
        <w:tc>
          <w:tcPr>
            <w:tcW w:w="967" w:type="pct"/>
            <w:gridSpan w:val="2"/>
            <w:vAlign w:val="center"/>
          </w:tcPr>
          <w:p w14:paraId="2C952768">
            <w:pPr>
              <w:spacing w:line="400" w:lineRule="atLeast"/>
              <w:ind w:firstLine="0" w:firstLineChars="0"/>
              <w:jc w:val="center"/>
              <w:rPr>
                <w:sz w:val="24"/>
                <w:highlight w:val="none"/>
              </w:rPr>
            </w:pPr>
          </w:p>
        </w:tc>
        <w:tc>
          <w:tcPr>
            <w:tcW w:w="1714" w:type="pct"/>
            <w:gridSpan w:val="3"/>
            <w:vAlign w:val="center"/>
          </w:tcPr>
          <w:p w14:paraId="71159D04">
            <w:pPr>
              <w:spacing w:line="400" w:lineRule="atLeast"/>
              <w:ind w:firstLine="0" w:firstLineChars="0"/>
              <w:jc w:val="center"/>
              <w:rPr>
                <w:sz w:val="24"/>
                <w:highlight w:val="none"/>
              </w:rPr>
            </w:pPr>
            <w:r>
              <w:rPr>
                <w:sz w:val="24"/>
                <w:highlight w:val="none"/>
              </w:rPr>
              <w:t>员工总人数</w:t>
            </w:r>
          </w:p>
        </w:tc>
        <w:tc>
          <w:tcPr>
            <w:tcW w:w="1429" w:type="pct"/>
            <w:gridSpan w:val="2"/>
            <w:vAlign w:val="center"/>
          </w:tcPr>
          <w:p w14:paraId="6535934B">
            <w:pPr>
              <w:spacing w:line="400" w:lineRule="atLeast"/>
              <w:ind w:firstLine="0" w:firstLineChars="0"/>
              <w:rPr>
                <w:sz w:val="24"/>
                <w:highlight w:val="none"/>
              </w:rPr>
            </w:pPr>
          </w:p>
        </w:tc>
      </w:tr>
      <w:tr w14:paraId="765BD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90" w:type="pct"/>
            <w:vAlign w:val="center"/>
          </w:tcPr>
          <w:p w14:paraId="3B023EF0">
            <w:pPr>
              <w:spacing w:line="400" w:lineRule="atLeast"/>
              <w:ind w:firstLine="0" w:firstLineChars="0"/>
              <w:jc w:val="center"/>
              <w:rPr>
                <w:sz w:val="24"/>
                <w:highlight w:val="none"/>
              </w:rPr>
            </w:pPr>
            <w:r>
              <w:rPr>
                <w:sz w:val="24"/>
                <w:highlight w:val="none"/>
              </w:rPr>
              <w:t>企业资质等级</w:t>
            </w:r>
          </w:p>
        </w:tc>
        <w:tc>
          <w:tcPr>
            <w:tcW w:w="4110" w:type="pct"/>
            <w:gridSpan w:val="7"/>
            <w:vAlign w:val="center"/>
          </w:tcPr>
          <w:p w14:paraId="60354318">
            <w:pPr>
              <w:spacing w:line="400" w:lineRule="atLeast"/>
              <w:ind w:firstLine="0" w:firstLineChars="0"/>
              <w:jc w:val="center"/>
              <w:rPr>
                <w:sz w:val="24"/>
                <w:highlight w:val="none"/>
              </w:rPr>
            </w:pPr>
          </w:p>
        </w:tc>
      </w:tr>
      <w:tr w14:paraId="4B274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90" w:type="pct"/>
            <w:vAlign w:val="center"/>
          </w:tcPr>
          <w:p w14:paraId="3D050574">
            <w:pPr>
              <w:spacing w:line="400" w:lineRule="atLeast"/>
              <w:ind w:firstLine="0" w:firstLineChars="0"/>
              <w:jc w:val="center"/>
              <w:rPr>
                <w:sz w:val="24"/>
                <w:highlight w:val="none"/>
              </w:rPr>
            </w:pPr>
            <w:r>
              <w:rPr>
                <w:sz w:val="24"/>
                <w:highlight w:val="none"/>
              </w:rPr>
              <w:t>营业执照号</w:t>
            </w:r>
          </w:p>
        </w:tc>
        <w:tc>
          <w:tcPr>
            <w:tcW w:w="4110" w:type="pct"/>
            <w:gridSpan w:val="7"/>
            <w:vAlign w:val="center"/>
          </w:tcPr>
          <w:p w14:paraId="04AF10E1">
            <w:pPr>
              <w:spacing w:line="400" w:lineRule="atLeast"/>
              <w:ind w:firstLine="0" w:firstLineChars="0"/>
              <w:jc w:val="center"/>
              <w:rPr>
                <w:sz w:val="24"/>
                <w:highlight w:val="none"/>
              </w:rPr>
            </w:pPr>
          </w:p>
        </w:tc>
      </w:tr>
      <w:tr w14:paraId="5F02A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90" w:type="pct"/>
            <w:vAlign w:val="center"/>
          </w:tcPr>
          <w:p w14:paraId="3C6D8F43">
            <w:pPr>
              <w:spacing w:line="400" w:lineRule="atLeast"/>
              <w:ind w:firstLine="0" w:firstLineChars="0"/>
              <w:jc w:val="center"/>
              <w:rPr>
                <w:sz w:val="24"/>
                <w:highlight w:val="none"/>
              </w:rPr>
            </w:pPr>
            <w:r>
              <w:rPr>
                <w:sz w:val="24"/>
                <w:highlight w:val="none"/>
              </w:rPr>
              <w:t>注册资金</w:t>
            </w:r>
          </w:p>
        </w:tc>
        <w:tc>
          <w:tcPr>
            <w:tcW w:w="4110" w:type="pct"/>
            <w:gridSpan w:val="7"/>
            <w:vAlign w:val="center"/>
          </w:tcPr>
          <w:p w14:paraId="521DDF0C">
            <w:pPr>
              <w:spacing w:line="400" w:lineRule="atLeast"/>
              <w:ind w:firstLine="0" w:firstLineChars="0"/>
              <w:jc w:val="center"/>
              <w:rPr>
                <w:sz w:val="24"/>
                <w:highlight w:val="none"/>
              </w:rPr>
            </w:pPr>
          </w:p>
        </w:tc>
      </w:tr>
      <w:tr w14:paraId="30FCD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90" w:type="pct"/>
            <w:vAlign w:val="center"/>
          </w:tcPr>
          <w:p w14:paraId="0352E484">
            <w:pPr>
              <w:spacing w:line="400" w:lineRule="atLeast"/>
              <w:ind w:firstLine="0" w:firstLineChars="0"/>
              <w:jc w:val="center"/>
              <w:rPr>
                <w:sz w:val="24"/>
                <w:highlight w:val="none"/>
              </w:rPr>
            </w:pPr>
            <w:r>
              <w:rPr>
                <w:sz w:val="24"/>
                <w:highlight w:val="none"/>
              </w:rPr>
              <w:t>开户银行</w:t>
            </w:r>
          </w:p>
        </w:tc>
        <w:tc>
          <w:tcPr>
            <w:tcW w:w="4110" w:type="pct"/>
            <w:gridSpan w:val="7"/>
            <w:vAlign w:val="center"/>
          </w:tcPr>
          <w:p w14:paraId="1E1544CB">
            <w:pPr>
              <w:spacing w:line="400" w:lineRule="atLeast"/>
              <w:ind w:firstLine="0" w:firstLineChars="0"/>
              <w:jc w:val="center"/>
              <w:rPr>
                <w:sz w:val="24"/>
                <w:highlight w:val="none"/>
              </w:rPr>
            </w:pPr>
          </w:p>
        </w:tc>
      </w:tr>
      <w:tr w14:paraId="48A8E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90" w:type="pct"/>
            <w:vAlign w:val="center"/>
          </w:tcPr>
          <w:p w14:paraId="6E377AC4">
            <w:pPr>
              <w:spacing w:line="400" w:lineRule="atLeast"/>
              <w:ind w:firstLine="0" w:firstLineChars="0"/>
              <w:jc w:val="center"/>
              <w:rPr>
                <w:sz w:val="24"/>
                <w:highlight w:val="none"/>
              </w:rPr>
            </w:pPr>
            <w:r>
              <w:rPr>
                <w:sz w:val="24"/>
                <w:highlight w:val="none"/>
              </w:rPr>
              <w:t>账号</w:t>
            </w:r>
          </w:p>
        </w:tc>
        <w:tc>
          <w:tcPr>
            <w:tcW w:w="4110" w:type="pct"/>
            <w:gridSpan w:val="7"/>
            <w:vAlign w:val="center"/>
          </w:tcPr>
          <w:p w14:paraId="616DB440">
            <w:pPr>
              <w:spacing w:line="400" w:lineRule="atLeast"/>
              <w:ind w:firstLine="0" w:firstLineChars="0"/>
              <w:jc w:val="center"/>
              <w:rPr>
                <w:sz w:val="24"/>
                <w:highlight w:val="none"/>
              </w:rPr>
            </w:pPr>
          </w:p>
        </w:tc>
      </w:tr>
      <w:tr w14:paraId="6D6F4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8" w:hRule="atLeast"/>
          <w:jc w:val="center"/>
        </w:trPr>
        <w:tc>
          <w:tcPr>
            <w:tcW w:w="890" w:type="pct"/>
            <w:vAlign w:val="center"/>
          </w:tcPr>
          <w:p w14:paraId="13FD3740">
            <w:pPr>
              <w:spacing w:line="400" w:lineRule="atLeast"/>
              <w:ind w:firstLine="0" w:firstLineChars="0"/>
              <w:jc w:val="center"/>
              <w:rPr>
                <w:sz w:val="24"/>
                <w:highlight w:val="none"/>
              </w:rPr>
            </w:pPr>
            <w:r>
              <w:rPr>
                <w:sz w:val="24"/>
                <w:highlight w:val="none"/>
              </w:rPr>
              <w:t>经营范围</w:t>
            </w:r>
          </w:p>
        </w:tc>
        <w:tc>
          <w:tcPr>
            <w:tcW w:w="4110" w:type="pct"/>
            <w:gridSpan w:val="7"/>
            <w:vAlign w:val="center"/>
          </w:tcPr>
          <w:p w14:paraId="743D4439">
            <w:pPr>
              <w:spacing w:line="400" w:lineRule="atLeast"/>
              <w:ind w:firstLine="0" w:firstLineChars="0"/>
              <w:jc w:val="center"/>
              <w:rPr>
                <w:sz w:val="24"/>
                <w:highlight w:val="none"/>
              </w:rPr>
            </w:pPr>
          </w:p>
        </w:tc>
      </w:tr>
      <w:tr w14:paraId="09A6F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890" w:type="pct"/>
            <w:vAlign w:val="center"/>
          </w:tcPr>
          <w:p w14:paraId="60B0583F">
            <w:pPr>
              <w:spacing w:line="400" w:lineRule="atLeast"/>
              <w:ind w:firstLine="0" w:firstLineChars="0"/>
              <w:jc w:val="center"/>
              <w:rPr>
                <w:sz w:val="24"/>
                <w:highlight w:val="none"/>
              </w:rPr>
            </w:pPr>
            <w:r>
              <w:rPr>
                <w:sz w:val="24"/>
                <w:highlight w:val="none"/>
              </w:rPr>
              <w:t>备注</w:t>
            </w:r>
          </w:p>
        </w:tc>
        <w:tc>
          <w:tcPr>
            <w:tcW w:w="4110" w:type="pct"/>
            <w:gridSpan w:val="7"/>
            <w:vAlign w:val="center"/>
          </w:tcPr>
          <w:p w14:paraId="683663FE">
            <w:pPr>
              <w:spacing w:line="400" w:lineRule="atLeast"/>
              <w:ind w:firstLine="0" w:firstLineChars="0"/>
              <w:jc w:val="center"/>
              <w:rPr>
                <w:sz w:val="24"/>
                <w:highlight w:val="none"/>
              </w:rPr>
            </w:pPr>
          </w:p>
        </w:tc>
      </w:tr>
    </w:tbl>
    <w:p w14:paraId="6497EA5E">
      <w:pPr>
        <w:pStyle w:val="19"/>
        <w:spacing w:before="120" w:after="120" w:line="400" w:lineRule="atLeast"/>
        <w:ind w:firstLine="420"/>
        <w:jc w:val="both"/>
        <w:rPr>
          <w:highlight w:val="none"/>
        </w:rPr>
      </w:pPr>
      <w:r>
        <w:rPr>
          <w:highlight w:val="none"/>
        </w:rPr>
        <w:t>注：后附</w:t>
      </w:r>
      <w:r>
        <w:rPr>
          <w:b/>
          <w:bCs/>
          <w:highlight w:val="none"/>
        </w:rPr>
        <w:t>资质证书</w:t>
      </w:r>
      <w:r>
        <w:rPr>
          <w:highlight w:val="none"/>
        </w:rPr>
        <w:t>、安全生产许可证（如要求提供）。</w:t>
      </w:r>
    </w:p>
    <w:p w14:paraId="3306F343">
      <w:pPr>
        <w:pStyle w:val="19"/>
        <w:spacing w:before="120" w:after="120" w:line="400" w:lineRule="atLeast"/>
        <w:ind w:firstLine="420"/>
        <w:jc w:val="both"/>
        <w:rPr>
          <w:highlight w:val="none"/>
        </w:rPr>
      </w:pPr>
      <w:r>
        <w:rPr>
          <w:highlight w:val="none"/>
        </w:rPr>
        <w:br w:type="page"/>
      </w:r>
    </w:p>
    <w:p w14:paraId="3D5989D9">
      <w:pPr>
        <w:pStyle w:val="5"/>
        <w:spacing w:line="400" w:lineRule="atLeast"/>
        <w:ind w:firstLine="0" w:firstLineChars="0"/>
        <w:jc w:val="center"/>
        <w:rPr>
          <w:rFonts w:ascii="Times New Roman" w:hAnsi="Times New Roman"/>
          <w:b w:val="0"/>
          <w:highlight w:val="none"/>
        </w:rPr>
      </w:pPr>
      <w:bookmarkStart w:id="286" w:name="_Toc23758"/>
      <w:bookmarkStart w:id="287" w:name="_Toc16649"/>
      <w:bookmarkStart w:id="288" w:name="_Toc28909"/>
      <w:r>
        <w:rPr>
          <w:rFonts w:hint="eastAsia" w:ascii="Times New Roman" w:hAnsi="Times New Roman"/>
          <w:b w:val="0"/>
          <w:highlight w:val="none"/>
          <w:lang w:val="en-US" w:eastAsia="zh-CN"/>
        </w:rPr>
        <w:t>七</w:t>
      </w:r>
      <w:r>
        <w:rPr>
          <w:rFonts w:ascii="Times New Roman" w:hAnsi="Times New Roman"/>
          <w:b w:val="0"/>
          <w:highlight w:val="none"/>
        </w:rPr>
        <w:t>、其他资料</w:t>
      </w:r>
      <w:bookmarkEnd w:id="286"/>
      <w:bookmarkEnd w:id="287"/>
      <w:bookmarkEnd w:id="288"/>
    </w:p>
    <w:p w14:paraId="2F0A2685">
      <w:pPr>
        <w:spacing w:line="400" w:lineRule="atLeast"/>
        <w:ind w:firstLine="420"/>
        <w:jc w:val="center"/>
        <w:rPr>
          <w:highlight w:val="none"/>
        </w:rPr>
      </w:pPr>
    </w:p>
    <w:p w14:paraId="33748A3E">
      <w:pPr>
        <w:spacing w:line="400" w:lineRule="atLeast"/>
        <w:ind w:firstLine="0" w:firstLineChars="0"/>
        <w:rPr>
          <w:highlight w:val="none"/>
        </w:rPr>
      </w:pPr>
      <w:r>
        <w:rPr>
          <w:rFonts w:hint="eastAsia"/>
          <w:highlight w:val="none"/>
        </w:rPr>
        <w:t>谈判保证金交纳凭证、业绩证明材料等</w:t>
      </w:r>
    </w:p>
    <w:bookmarkEnd w:id="280"/>
    <w:bookmarkEnd w:id="281"/>
    <w:bookmarkEnd w:id="282"/>
    <w:bookmarkEnd w:id="283"/>
    <w:bookmarkEnd w:id="284"/>
    <w:bookmarkEnd w:id="285"/>
    <w:p w14:paraId="18E842C5">
      <w:pPr>
        <w:ind w:firstLine="420"/>
        <w:rPr>
          <w:highlight w:val="none"/>
        </w:rPr>
      </w:pPr>
      <w:r>
        <w:rPr>
          <w:highlight w:val="none"/>
        </w:rPr>
        <w:br w:type="page"/>
      </w:r>
    </w:p>
    <w:p w14:paraId="215635AB">
      <w:pPr>
        <w:pStyle w:val="5"/>
        <w:spacing w:line="400" w:lineRule="atLeast"/>
        <w:ind w:firstLine="0" w:firstLineChars="0"/>
        <w:jc w:val="center"/>
        <w:rPr>
          <w:rFonts w:ascii="Times New Roman" w:hAnsi="Times New Roman"/>
          <w:b w:val="0"/>
          <w:highlight w:val="none"/>
        </w:rPr>
      </w:pPr>
      <w:bookmarkStart w:id="289" w:name="_Toc22925"/>
      <w:bookmarkStart w:id="290" w:name="_Toc25553"/>
      <w:bookmarkStart w:id="291" w:name="_Toc29993"/>
      <w:bookmarkStart w:id="292" w:name="_Toc11185"/>
      <w:bookmarkStart w:id="293" w:name="_Toc7702"/>
      <w:r>
        <w:rPr>
          <w:rFonts w:hint="eastAsia" w:ascii="Times New Roman" w:hAnsi="Times New Roman"/>
          <w:b w:val="0"/>
          <w:highlight w:val="none"/>
          <w:lang w:val="en-US" w:eastAsia="zh-CN"/>
        </w:rPr>
        <w:t>八</w:t>
      </w:r>
      <w:r>
        <w:rPr>
          <w:rFonts w:ascii="Times New Roman" w:hAnsi="Times New Roman"/>
          <w:b w:val="0"/>
          <w:highlight w:val="none"/>
        </w:rPr>
        <w:t>、第二轮报价单</w:t>
      </w:r>
      <w:bookmarkEnd w:id="289"/>
      <w:bookmarkEnd w:id="290"/>
      <w:bookmarkEnd w:id="291"/>
      <w:bookmarkEnd w:id="292"/>
      <w:bookmarkEnd w:id="293"/>
    </w:p>
    <w:p w14:paraId="03559A25">
      <w:pPr>
        <w:spacing w:line="400" w:lineRule="atLeast"/>
        <w:ind w:firstLine="0" w:firstLineChars="0"/>
        <w:jc w:val="center"/>
        <w:rPr>
          <w:sz w:val="24"/>
          <w:highlight w:val="none"/>
        </w:rPr>
      </w:pPr>
      <w:bookmarkStart w:id="294" w:name="_Toc12031"/>
      <w:bookmarkStart w:id="295" w:name="_Toc19303"/>
      <w:bookmarkStart w:id="296" w:name="_Toc6824"/>
      <w:bookmarkStart w:id="297" w:name="_Toc15700"/>
      <w:bookmarkStart w:id="298" w:name="_Toc6883"/>
      <w:bookmarkStart w:id="299" w:name="_Toc1836"/>
      <w:bookmarkStart w:id="300" w:name="_Toc15956"/>
      <w:bookmarkStart w:id="301" w:name="_Toc4884"/>
      <w:bookmarkStart w:id="302" w:name="_Toc20489"/>
      <w:bookmarkStart w:id="303" w:name="_Toc23868"/>
      <w:bookmarkStart w:id="304" w:name="_Toc20398"/>
      <w:bookmarkStart w:id="305" w:name="_Toc27721"/>
      <w:bookmarkStart w:id="306" w:name="_Toc386"/>
      <w:r>
        <w:rPr>
          <w:sz w:val="24"/>
          <w:highlight w:val="none"/>
        </w:rPr>
        <w:t>（本附件第二轮报价时无需填写，</w:t>
      </w:r>
      <w:r>
        <w:rPr>
          <w:rFonts w:hint="eastAsia"/>
          <w:sz w:val="24"/>
          <w:highlight w:val="none"/>
        </w:rPr>
        <w:t>成交</w:t>
      </w:r>
      <w:r>
        <w:rPr>
          <w:sz w:val="24"/>
          <w:highlight w:val="none"/>
        </w:rPr>
        <w:t>后由成交供应商向采购人书面提供）</w:t>
      </w:r>
      <w:bookmarkEnd w:id="294"/>
      <w:bookmarkEnd w:id="295"/>
      <w:bookmarkEnd w:id="296"/>
      <w:bookmarkEnd w:id="297"/>
      <w:bookmarkEnd w:id="298"/>
      <w:bookmarkEnd w:id="299"/>
      <w:bookmarkEnd w:id="300"/>
      <w:bookmarkEnd w:id="301"/>
      <w:bookmarkEnd w:id="302"/>
      <w:bookmarkEnd w:id="303"/>
      <w:bookmarkEnd w:id="304"/>
      <w:bookmarkEnd w:id="305"/>
      <w:bookmarkEnd w:id="306"/>
    </w:p>
    <w:p w14:paraId="060739B0">
      <w:pPr>
        <w:adjustRightInd w:val="0"/>
        <w:spacing w:line="400" w:lineRule="atLeast"/>
        <w:ind w:firstLine="480"/>
        <w:textAlignment w:val="baseline"/>
        <w:rPr>
          <w:sz w:val="24"/>
          <w:highlight w:val="none"/>
        </w:rPr>
      </w:pPr>
    </w:p>
    <w:p w14:paraId="5E3CC9E9">
      <w:pPr>
        <w:adjustRightInd w:val="0"/>
        <w:spacing w:line="400" w:lineRule="atLeast"/>
        <w:ind w:firstLine="0" w:firstLineChars="0"/>
        <w:textAlignment w:val="baseline"/>
        <w:rPr>
          <w:sz w:val="24"/>
          <w:highlight w:val="none"/>
        </w:rPr>
      </w:pPr>
      <w:r>
        <w:rPr>
          <w:sz w:val="24"/>
          <w:highlight w:val="none"/>
        </w:rPr>
        <w:t>致：</w:t>
      </w:r>
      <w:r>
        <w:rPr>
          <w:sz w:val="24"/>
          <w:highlight w:val="none"/>
          <w:u w:val="single"/>
        </w:rPr>
        <w:t xml:space="preserve">  </w:t>
      </w:r>
      <w:r>
        <w:rPr>
          <w:iCs/>
          <w:sz w:val="24"/>
          <w:highlight w:val="none"/>
          <w:u w:val="single"/>
        </w:rPr>
        <w:t>（采购人）</w:t>
      </w:r>
      <w:r>
        <w:rPr>
          <w:sz w:val="24"/>
          <w:highlight w:val="none"/>
          <w:u w:val="single"/>
        </w:rPr>
        <w:t xml:space="preserve">   </w:t>
      </w:r>
    </w:p>
    <w:p w14:paraId="5D1AD997">
      <w:pPr>
        <w:spacing w:line="400" w:lineRule="atLeast"/>
        <w:ind w:firstLine="480"/>
        <w:rPr>
          <w:sz w:val="24"/>
          <w:highlight w:val="none"/>
        </w:rPr>
      </w:pPr>
    </w:p>
    <w:p w14:paraId="6A1A6FE9">
      <w:pPr>
        <w:spacing w:line="400" w:lineRule="atLeast"/>
        <w:ind w:firstLine="480"/>
        <w:rPr>
          <w:sz w:val="24"/>
          <w:highlight w:val="none"/>
        </w:rPr>
      </w:pPr>
      <w:r>
        <w:rPr>
          <w:sz w:val="24"/>
          <w:highlight w:val="none"/>
        </w:rPr>
        <w:t>我单位</w:t>
      </w:r>
      <w:r>
        <w:rPr>
          <w:sz w:val="24"/>
          <w:highlight w:val="none"/>
          <w:u w:val="single"/>
        </w:rPr>
        <w:t xml:space="preserve">    （供应商名称   </w:t>
      </w:r>
      <w:r>
        <w:rPr>
          <w:sz w:val="24"/>
          <w:highlight w:val="none"/>
        </w:rPr>
        <w:t>经过认真分析研究，我方愿以</w:t>
      </w:r>
      <w:r>
        <w:rPr>
          <w:rFonts w:hint="eastAsia"/>
          <w:bCs/>
          <w:sz w:val="24"/>
          <w:highlight w:val="none"/>
          <w:u w:val="single"/>
        </w:rPr>
        <w:t xml:space="preserve">    </w:t>
      </w:r>
      <w:r>
        <w:rPr>
          <w:rFonts w:hint="eastAsia"/>
          <w:bCs/>
          <w:sz w:val="24"/>
          <w:highlight w:val="none"/>
          <w:u w:val="single"/>
          <w:lang w:val="en-US" w:eastAsia="zh-CN"/>
        </w:rPr>
        <w:t xml:space="preserve">   </w:t>
      </w:r>
      <w:r>
        <w:rPr>
          <w:rFonts w:hint="eastAsia"/>
          <w:bCs/>
          <w:sz w:val="24"/>
          <w:highlight w:val="none"/>
          <w:u w:val="single"/>
        </w:rPr>
        <w:t xml:space="preserve">   </w:t>
      </w:r>
      <w:r>
        <w:rPr>
          <w:rFonts w:hint="eastAsia"/>
          <w:sz w:val="24"/>
          <w:highlight w:val="none"/>
        </w:rPr>
        <w:t>元</w:t>
      </w:r>
      <w:r>
        <w:rPr>
          <w:sz w:val="24"/>
          <w:highlight w:val="none"/>
        </w:rPr>
        <w:t>，</w:t>
      </w:r>
      <w:r>
        <w:rPr>
          <w:rFonts w:hint="eastAsia"/>
          <w:sz w:val="24"/>
          <w:highlight w:val="none"/>
        </w:rPr>
        <w:t>大写</w:t>
      </w:r>
      <w:r>
        <w:rPr>
          <w:rFonts w:hint="eastAsia"/>
          <w:sz w:val="24"/>
          <w:highlight w:val="none"/>
          <w:u w:val="single"/>
        </w:rPr>
        <w:t xml:space="preserve">     </w:t>
      </w:r>
      <w:r>
        <w:rPr>
          <w:rFonts w:hint="eastAsia"/>
          <w:sz w:val="24"/>
          <w:highlight w:val="none"/>
          <w:u w:val="single"/>
          <w:lang w:val="en-US" w:eastAsia="zh-CN"/>
        </w:rPr>
        <w:t xml:space="preserve">    </w:t>
      </w:r>
      <w:r>
        <w:rPr>
          <w:rFonts w:hint="eastAsia"/>
          <w:sz w:val="24"/>
          <w:highlight w:val="none"/>
          <w:u w:val="single"/>
        </w:rPr>
        <w:t xml:space="preserve">  </w:t>
      </w:r>
      <w:r>
        <w:rPr>
          <w:rFonts w:hint="eastAsia"/>
          <w:sz w:val="24"/>
          <w:highlight w:val="none"/>
        </w:rPr>
        <w:t>元，</w:t>
      </w:r>
      <w:r>
        <w:rPr>
          <w:sz w:val="24"/>
          <w:highlight w:val="none"/>
        </w:rPr>
        <w:t>其中增值税税率为：</w:t>
      </w:r>
      <w:r>
        <w:rPr>
          <w:sz w:val="24"/>
          <w:highlight w:val="none"/>
          <w:u w:val="single"/>
        </w:rPr>
        <w:t xml:space="preserve">  </w:t>
      </w:r>
      <w:r>
        <w:rPr>
          <w:rFonts w:hint="eastAsia"/>
          <w:sz w:val="24"/>
          <w:highlight w:val="none"/>
          <w:u w:val="single"/>
        </w:rPr>
        <w:t>6</w:t>
      </w:r>
      <w:r>
        <w:rPr>
          <w:sz w:val="24"/>
          <w:highlight w:val="none"/>
          <w:u w:val="single"/>
        </w:rPr>
        <w:t xml:space="preserve">  </w:t>
      </w:r>
      <w:r>
        <w:rPr>
          <w:sz w:val="24"/>
          <w:highlight w:val="none"/>
        </w:rPr>
        <w:t>%，作为</w:t>
      </w:r>
      <w:r>
        <w:rPr>
          <w:sz w:val="24"/>
          <w:highlight w:val="none"/>
          <w:u w:val="single"/>
        </w:rPr>
        <w:t xml:space="preserve">    （项目名称）     </w:t>
      </w:r>
      <w:r>
        <w:rPr>
          <w:sz w:val="24"/>
          <w:highlight w:val="none"/>
        </w:rPr>
        <w:t>的第二轮报价，并严格按照谈判文件要求完成本项目。</w:t>
      </w:r>
    </w:p>
    <w:p w14:paraId="134439BB">
      <w:pPr>
        <w:tabs>
          <w:tab w:val="left" w:pos="5665"/>
          <w:tab w:val="right" w:pos="8360"/>
        </w:tabs>
        <w:adjustRightInd w:val="0"/>
        <w:spacing w:line="400" w:lineRule="atLeast"/>
        <w:ind w:right="42" w:firstLine="2834" w:firstLineChars="1181"/>
        <w:textAlignment w:val="baseline"/>
        <w:rPr>
          <w:sz w:val="24"/>
          <w:highlight w:val="none"/>
        </w:rPr>
      </w:pPr>
    </w:p>
    <w:p w14:paraId="3B67669E">
      <w:pPr>
        <w:tabs>
          <w:tab w:val="left" w:pos="5665"/>
          <w:tab w:val="right" w:pos="8360"/>
        </w:tabs>
        <w:adjustRightInd w:val="0"/>
        <w:spacing w:line="400" w:lineRule="atLeast"/>
        <w:ind w:right="42" w:firstLine="2834" w:firstLineChars="1181"/>
        <w:textAlignment w:val="baseline"/>
        <w:rPr>
          <w:sz w:val="24"/>
          <w:highlight w:val="none"/>
        </w:rPr>
      </w:pPr>
    </w:p>
    <w:p w14:paraId="08D89145">
      <w:pPr>
        <w:tabs>
          <w:tab w:val="left" w:pos="5665"/>
          <w:tab w:val="right" w:pos="8360"/>
        </w:tabs>
        <w:adjustRightInd w:val="0"/>
        <w:spacing w:line="400" w:lineRule="atLeast"/>
        <w:ind w:right="42" w:firstLine="2834" w:firstLineChars="1181"/>
        <w:textAlignment w:val="baseline"/>
        <w:rPr>
          <w:sz w:val="24"/>
          <w:highlight w:val="none"/>
        </w:rPr>
      </w:pPr>
    </w:p>
    <w:p w14:paraId="7749BDAF">
      <w:pPr>
        <w:tabs>
          <w:tab w:val="left" w:pos="5665"/>
          <w:tab w:val="right" w:pos="8360"/>
        </w:tabs>
        <w:adjustRightInd w:val="0"/>
        <w:spacing w:line="400" w:lineRule="atLeast"/>
        <w:ind w:right="42" w:firstLine="2834" w:firstLineChars="1181"/>
        <w:textAlignment w:val="baseline"/>
        <w:rPr>
          <w:sz w:val="24"/>
          <w:highlight w:val="none"/>
        </w:rPr>
      </w:pPr>
    </w:p>
    <w:p w14:paraId="62FED690">
      <w:pPr>
        <w:tabs>
          <w:tab w:val="left" w:pos="5665"/>
          <w:tab w:val="right" w:pos="8360"/>
        </w:tabs>
        <w:adjustRightInd w:val="0"/>
        <w:spacing w:line="400" w:lineRule="atLeast"/>
        <w:ind w:right="42" w:firstLine="2834" w:firstLineChars="1181"/>
        <w:textAlignment w:val="baseline"/>
        <w:rPr>
          <w:sz w:val="24"/>
          <w:highlight w:val="none"/>
        </w:rPr>
      </w:pPr>
    </w:p>
    <w:p w14:paraId="585A67AE">
      <w:pPr>
        <w:tabs>
          <w:tab w:val="left" w:pos="5665"/>
          <w:tab w:val="right" w:pos="8360"/>
        </w:tabs>
        <w:adjustRightInd w:val="0"/>
        <w:spacing w:line="400" w:lineRule="atLeast"/>
        <w:ind w:right="42" w:firstLine="2834" w:firstLineChars="1181"/>
        <w:textAlignment w:val="baseline"/>
        <w:rPr>
          <w:sz w:val="24"/>
          <w:highlight w:val="none"/>
        </w:rPr>
      </w:pPr>
      <w:r>
        <w:rPr>
          <w:sz w:val="24"/>
          <w:highlight w:val="none"/>
        </w:rPr>
        <w:t>法人代表</w:t>
      </w:r>
      <w:r>
        <w:rPr>
          <w:rFonts w:hint="eastAsia"/>
          <w:sz w:val="24"/>
          <w:highlight w:val="none"/>
        </w:rPr>
        <w:t>人（或分/支公司负责人）</w:t>
      </w:r>
      <w:r>
        <w:rPr>
          <w:sz w:val="24"/>
          <w:highlight w:val="none"/>
        </w:rPr>
        <w:t>或委托</w:t>
      </w:r>
      <w:r>
        <w:rPr>
          <w:rFonts w:hint="eastAsia"/>
          <w:sz w:val="24"/>
          <w:highlight w:val="none"/>
          <w:lang w:val="en-US" w:eastAsia="zh-CN"/>
        </w:rPr>
        <w:t>代理</w:t>
      </w:r>
      <w:r>
        <w:rPr>
          <w:sz w:val="24"/>
          <w:highlight w:val="none"/>
        </w:rPr>
        <w:t>人</w:t>
      </w:r>
    </w:p>
    <w:p w14:paraId="657A330B">
      <w:pPr>
        <w:tabs>
          <w:tab w:val="left" w:pos="5665"/>
          <w:tab w:val="right" w:pos="8360"/>
        </w:tabs>
        <w:adjustRightInd w:val="0"/>
        <w:spacing w:line="400" w:lineRule="atLeast"/>
        <w:ind w:right="42" w:firstLine="2834" w:firstLineChars="1181"/>
        <w:textAlignment w:val="baseline"/>
        <w:rPr>
          <w:sz w:val="24"/>
          <w:highlight w:val="none"/>
          <w:u w:val="single"/>
        </w:rPr>
      </w:pPr>
      <w:r>
        <w:rPr>
          <w:sz w:val="24"/>
          <w:highlight w:val="none"/>
        </w:rPr>
        <w:t>（签名）：</w:t>
      </w:r>
      <w:r>
        <w:rPr>
          <w:sz w:val="24"/>
          <w:highlight w:val="none"/>
          <w:u w:val="single"/>
        </w:rPr>
        <w:t xml:space="preserve">             </w:t>
      </w:r>
    </w:p>
    <w:p w14:paraId="1C0519F2">
      <w:pPr>
        <w:tabs>
          <w:tab w:val="left" w:pos="5665"/>
          <w:tab w:val="right" w:pos="8360"/>
        </w:tabs>
        <w:adjustRightInd w:val="0"/>
        <w:spacing w:line="400" w:lineRule="atLeast"/>
        <w:ind w:right="42" w:firstLine="2834" w:firstLineChars="1181"/>
        <w:textAlignment w:val="baseline"/>
        <w:rPr>
          <w:rFonts w:eastAsia="楷体_GB2312"/>
          <w:sz w:val="26"/>
          <w:szCs w:val="20"/>
          <w:highlight w:val="none"/>
        </w:rPr>
      </w:pPr>
      <w:r>
        <w:rPr>
          <w:sz w:val="24"/>
          <w:highlight w:val="none"/>
        </w:rPr>
        <w:t>日 期：______________________</w:t>
      </w:r>
    </w:p>
    <w:p w14:paraId="0AC11071">
      <w:pPr>
        <w:pStyle w:val="5"/>
        <w:spacing w:line="400" w:lineRule="atLeast"/>
        <w:ind w:firstLine="0" w:firstLineChars="0"/>
        <w:jc w:val="center"/>
        <w:rPr>
          <w:rFonts w:ascii="Times New Roman" w:hAnsi="Times New Roman"/>
          <w:b w:val="0"/>
          <w:highlight w:val="none"/>
        </w:rPr>
      </w:pPr>
      <w:r>
        <w:rPr>
          <w:rFonts w:ascii="Times New Roman" w:hAnsi="Times New Roman"/>
          <w:highlight w:val="none"/>
        </w:rPr>
        <w:br w:type="page"/>
      </w:r>
      <w:bookmarkStart w:id="307" w:name="_Toc28218"/>
      <w:bookmarkStart w:id="308" w:name="_Toc29022"/>
      <w:bookmarkStart w:id="309" w:name="_Toc6390"/>
      <w:bookmarkStart w:id="310" w:name="_Toc16538"/>
      <w:bookmarkStart w:id="311" w:name="_Toc32427"/>
      <w:r>
        <w:rPr>
          <w:rFonts w:hint="eastAsia" w:ascii="Times New Roman" w:hAnsi="Times New Roman"/>
          <w:b w:val="0"/>
          <w:highlight w:val="none"/>
          <w:lang w:val="en-US" w:eastAsia="zh-CN"/>
        </w:rPr>
        <w:t>九</w:t>
      </w:r>
      <w:r>
        <w:rPr>
          <w:rFonts w:ascii="Times New Roman" w:hAnsi="Times New Roman"/>
          <w:b w:val="0"/>
          <w:highlight w:val="none"/>
        </w:rPr>
        <w:t>、第三轮报价单（如有）</w:t>
      </w:r>
      <w:bookmarkEnd w:id="307"/>
      <w:bookmarkEnd w:id="308"/>
      <w:bookmarkEnd w:id="309"/>
      <w:bookmarkEnd w:id="310"/>
      <w:bookmarkEnd w:id="311"/>
    </w:p>
    <w:p w14:paraId="2BA06305">
      <w:pPr>
        <w:spacing w:line="400" w:lineRule="atLeast"/>
        <w:ind w:firstLine="0" w:firstLineChars="0"/>
        <w:jc w:val="center"/>
        <w:rPr>
          <w:sz w:val="24"/>
          <w:highlight w:val="none"/>
        </w:rPr>
      </w:pPr>
      <w:bookmarkStart w:id="312" w:name="_Toc1682"/>
      <w:bookmarkStart w:id="313" w:name="_Toc19901"/>
      <w:bookmarkStart w:id="314" w:name="_Toc7603"/>
      <w:bookmarkStart w:id="315" w:name="_Toc22415"/>
      <w:bookmarkStart w:id="316" w:name="_Toc30108"/>
      <w:bookmarkStart w:id="317" w:name="_Toc3032"/>
      <w:bookmarkStart w:id="318" w:name="_Toc16717"/>
      <w:bookmarkStart w:id="319" w:name="_Toc11762"/>
      <w:bookmarkStart w:id="320" w:name="_Toc7010"/>
      <w:bookmarkStart w:id="321" w:name="_Toc28203"/>
      <w:bookmarkStart w:id="322" w:name="_Toc31609"/>
      <w:bookmarkStart w:id="323" w:name="_Toc12489"/>
      <w:bookmarkStart w:id="324" w:name="_Toc7307"/>
      <w:r>
        <w:rPr>
          <w:sz w:val="24"/>
          <w:highlight w:val="none"/>
        </w:rPr>
        <w:t>（本附件第三轮报价时无需填写，标后由成交供应商向采购人书面提供）</w:t>
      </w:r>
      <w:bookmarkEnd w:id="312"/>
      <w:bookmarkEnd w:id="313"/>
      <w:bookmarkEnd w:id="314"/>
      <w:bookmarkEnd w:id="315"/>
      <w:bookmarkEnd w:id="316"/>
      <w:bookmarkEnd w:id="317"/>
      <w:bookmarkEnd w:id="318"/>
      <w:bookmarkEnd w:id="319"/>
      <w:bookmarkEnd w:id="320"/>
      <w:bookmarkEnd w:id="321"/>
      <w:bookmarkEnd w:id="322"/>
      <w:bookmarkEnd w:id="323"/>
      <w:bookmarkEnd w:id="324"/>
    </w:p>
    <w:p w14:paraId="4303717C">
      <w:pPr>
        <w:adjustRightInd w:val="0"/>
        <w:spacing w:line="400" w:lineRule="atLeast"/>
        <w:ind w:firstLine="480"/>
        <w:textAlignment w:val="baseline"/>
        <w:rPr>
          <w:sz w:val="24"/>
          <w:highlight w:val="none"/>
        </w:rPr>
      </w:pPr>
    </w:p>
    <w:p w14:paraId="76258480">
      <w:pPr>
        <w:adjustRightInd w:val="0"/>
        <w:spacing w:line="400" w:lineRule="atLeast"/>
        <w:ind w:firstLine="480"/>
        <w:textAlignment w:val="baseline"/>
        <w:rPr>
          <w:sz w:val="24"/>
          <w:highlight w:val="none"/>
        </w:rPr>
      </w:pPr>
      <w:r>
        <w:rPr>
          <w:sz w:val="24"/>
          <w:highlight w:val="none"/>
        </w:rPr>
        <w:t>致：</w:t>
      </w:r>
      <w:r>
        <w:rPr>
          <w:sz w:val="24"/>
          <w:highlight w:val="none"/>
          <w:u w:val="single"/>
        </w:rPr>
        <w:t xml:space="preserve">  </w:t>
      </w:r>
      <w:r>
        <w:rPr>
          <w:iCs/>
          <w:sz w:val="24"/>
          <w:highlight w:val="none"/>
          <w:u w:val="single"/>
        </w:rPr>
        <w:t>（采购人）</w:t>
      </w:r>
      <w:r>
        <w:rPr>
          <w:sz w:val="24"/>
          <w:highlight w:val="none"/>
          <w:u w:val="single"/>
        </w:rPr>
        <w:t xml:space="preserve">   </w:t>
      </w:r>
    </w:p>
    <w:p w14:paraId="18591644">
      <w:pPr>
        <w:spacing w:line="400" w:lineRule="atLeast"/>
        <w:ind w:firstLine="480"/>
        <w:rPr>
          <w:sz w:val="24"/>
          <w:highlight w:val="none"/>
        </w:rPr>
      </w:pPr>
    </w:p>
    <w:p w14:paraId="2CB7FA9B">
      <w:pPr>
        <w:spacing w:line="400" w:lineRule="atLeast"/>
        <w:ind w:firstLine="480"/>
        <w:rPr>
          <w:sz w:val="24"/>
          <w:highlight w:val="none"/>
        </w:rPr>
      </w:pPr>
      <w:r>
        <w:rPr>
          <w:sz w:val="24"/>
          <w:highlight w:val="none"/>
        </w:rPr>
        <w:t>我单位</w:t>
      </w:r>
      <w:r>
        <w:rPr>
          <w:sz w:val="24"/>
          <w:highlight w:val="none"/>
          <w:u w:val="single"/>
        </w:rPr>
        <w:t xml:space="preserve">    （供应商名称）</w:t>
      </w:r>
      <w:r>
        <w:rPr>
          <w:rFonts w:hint="eastAsia"/>
          <w:sz w:val="24"/>
          <w:highlight w:val="none"/>
          <w:u w:val="single"/>
        </w:rPr>
        <w:t xml:space="preserve">  </w:t>
      </w:r>
      <w:r>
        <w:rPr>
          <w:sz w:val="24"/>
          <w:highlight w:val="none"/>
        </w:rPr>
        <w:t>经过认真分析研究，我方愿以</w:t>
      </w:r>
      <w:r>
        <w:rPr>
          <w:rFonts w:hint="eastAsia"/>
          <w:bCs/>
          <w:sz w:val="24"/>
          <w:highlight w:val="none"/>
          <w:u w:val="single"/>
        </w:rPr>
        <w:t xml:space="preserve">  </w:t>
      </w:r>
      <w:r>
        <w:rPr>
          <w:rFonts w:hint="eastAsia"/>
          <w:bCs/>
          <w:sz w:val="24"/>
          <w:highlight w:val="none"/>
          <w:u w:val="single"/>
          <w:lang w:val="en-US" w:eastAsia="zh-CN"/>
        </w:rPr>
        <w:t xml:space="preserve">   </w:t>
      </w:r>
      <w:r>
        <w:rPr>
          <w:rFonts w:hint="eastAsia"/>
          <w:bCs/>
          <w:sz w:val="24"/>
          <w:highlight w:val="none"/>
          <w:u w:val="single"/>
        </w:rPr>
        <w:t xml:space="preserve">    </w:t>
      </w:r>
      <w:r>
        <w:rPr>
          <w:rFonts w:hint="eastAsia"/>
          <w:sz w:val="24"/>
          <w:highlight w:val="none"/>
        </w:rPr>
        <w:t>元</w:t>
      </w:r>
      <w:r>
        <w:rPr>
          <w:sz w:val="24"/>
          <w:highlight w:val="none"/>
        </w:rPr>
        <w:t>，</w:t>
      </w:r>
      <w:r>
        <w:rPr>
          <w:rFonts w:hint="eastAsia"/>
          <w:sz w:val="24"/>
          <w:highlight w:val="none"/>
        </w:rPr>
        <w:t>大写</w:t>
      </w:r>
      <w:r>
        <w:rPr>
          <w:rFonts w:hint="eastAsia"/>
          <w:sz w:val="24"/>
          <w:highlight w:val="none"/>
          <w:u w:val="single"/>
        </w:rPr>
        <w:t xml:space="preserve">     </w:t>
      </w:r>
      <w:r>
        <w:rPr>
          <w:rFonts w:hint="eastAsia"/>
          <w:sz w:val="24"/>
          <w:highlight w:val="none"/>
          <w:u w:val="single"/>
          <w:lang w:val="en-US" w:eastAsia="zh-CN"/>
        </w:rPr>
        <w:t xml:space="preserve">   </w:t>
      </w:r>
      <w:r>
        <w:rPr>
          <w:rFonts w:hint="eastAsia"/>
          <w:sz w:val="24"/>
          <w:highlight w:val="none"/>
          <w:u w:val="single"/>
        </w:rPr>
        <w:t xml:space="preserve">  </w:t>
      </w:r>
      <w:r>
        <w:rPr>
          <w:rFonts w:hint="eastAsia"/>
          <w:sz w:val="24"/>
          <w:highlight w:val="none"/>
        </w:rPr>
        <w:t>元，</w:t>
      </w:r>
      <w:r>
        <w:rPr>
          <w:sz w:val="24"/>
          <w:highlight w:val="none"/>
        </w:rPr>
        <w:t>其中增值税税率为：</w:t>
      </w:r>
      <w:r>
        <w:rPr>
          <w:sz w:val="24"/>
          <w:highlight w:val="none"/>
          <w:u w:val="single"/>
        </w:rPr>
        <w:t xml:space="preserve">  </w:t>
      </w:r>
      <w:r>
        <w:rPr>
          <w:rFonts w:hint="eastAsia"/>
          <w:sz w:val="24"/>
          <w:highlight w:val="none"/>
          <w:u w:val="single"/>
        </w:rPr>
        <w:t>6</w:t>
      </w:r>
      <w:r>
        <w:rPr>
          <w:sz w:val="24"/>
          <w:highlight w:val="none"/>
          <w:u w:val="single"/>
        </w:rPr>
        <w:t xml:space="preserve">  </w:t>
      </w:r>
      <w:r>
        <w:rPr>
          <w:sz w:val="24"/>
          <w:highlight w:val="none"/>
        </w:rPr>
        <w:t>%，作为</w:t>
      </w:r>
      <w:r>
        <w:rPr>
          <w:sz w:val="24"/>
          <w:highlight w:val="none"/>
          <w:u w:val="single"/>
        </w:rPr>
        <w:t xml:space="preserve">      （项目名称）         </w:t>
      </w:r>
      <w:r>
        <w:rPr>
          <w:sz w:val="24"/>
          <w:highlight w:val="none"/>
        </w:rPr>
        <w:t>的第三轮报价，并严格按照谈判文件要求完成本项目。</w:t>
      </w:r>
    </w:p>
    <w:p w14:paraId="2915E639">
      <w:pPr>
        <w:tabs>
          <w:tab w:val="left" w:pos="5665"/>
          <w:tab w:val="right" w:pos="8360"/>
        </w:tabs>
        <w:adjustRightInd w:val="0"/>
        <w:spacing w:line="400" w:lineRule="atLeast"/>
        <w:ind w:right="42" w:firstLine="2834" w:firstLineChars="1181"/>
        <w:textAlignment w:val="baseline"/>
        <w:rPr>
          <w:sz w:val="24"/>
          <w:highlight w:val="none"/>
        </w:rPr>
      </w:pPr>
    </w:p>
    <w:p w14:paraId="482DF159">
      <w:pPr>
        <w:tabs>
          <w:tab w:val="left" w:pos="5665"/>
          <w:tab w:val="right" w:pos="8360"/>
        </w:tabs>
        <w:adjustRightInd w:val="0"/>
        <w:spacing w:line="400" w:lineRule="atLeast"/>
        <w:ind w:right="42" w:firstLine="2834" w:firstLineChars="1181"/>
        <w:textAlignment w:val="baseline"/>
        <w:rPr>
          <w:sz w:val="24"/>
          <w:highlight w:val="none"/>
        </w:rPr>
      </w:pPr>
    </w:p>
    <w:p w14:paraId="2590B89A">
      <w:pPr>
        <w:tabs>
          <w:tab w:val="left" w:pos="5665"/>
          <w:tab w:val="right" w:pos="8360"/>
        </w:tabs>
        <w:adjustRightInd w:val="0"/>
        <w:spacing w:line="400" w:lineRule="atLeast"/>
        <w:ind w:right="42" w:firstLine="2834" w:firstLineChars="1181"/>
        <w:textAlignment w:val="baseline"/>
        <w:rPr>
          <w:sz w:val="24"/>
          <w:highlight w:val="none"/>
        </w:rPr>
      </w:pPr>
    </w:p>
    <w:p w14:paraId="3C06BA8C">
      <w:pPr>
        <w:tabs>
          <w:tab w:val="left" w:pos="5665"/>
          <w:tab w:val="right" w:pos="8360"/>
        </w:tabs>
        <w:adjustRightInd w:val="0"/>
        <w:spacing w:line="400" w:lineRule="atLeast"/>
        <w:ind w:right="42" w:firstLine="2834" w:firstLineChars="1181"/>
        <w:textAlignment w:val="baseline"/>
        <w:rPr>
          <w:sz w:val="24"/>
          <w:highlight w:val="none"/>
        </w:rPr>
      </w:pPr>
    </w:p>
    <w:p w14:paraId="692F5517">
      <w:pPr>
        <w:tabs>
          <w:tab w:val="left" w:pos="5665"/>
          <w:tab w:val="right" w:pos="8360"/>
        </w:tabs>
        <w:adjustRightInd w:val="0"/>
        <w:spacing w:line="400" w:lineRule="atLeast"/>
        <w:ind w:right="42" w:firstLine="2834" w:firstLineChars="1181"/>
        <w:textAlignment w:val="baseline"/>
        <w:rPr>
          <w:sz w:val="24"/>
          <w:highlight w:val="none"/>
        </w:rPr>
      </w:pPr>
    </w:p>
    <w:p w14:paraId="144906EB">
      <w:pPr>
        <w:tabs>
          <w:tab w:val="left" w:pos="5665"/>
          <w:tab w:val="right" w:pos="8360"/>
        </w:tabs>
        <w:adjustRightInd w:val="0"/>
        <w:spacing w:line="400" w:lineRule="atLeast"/>
        <w:ind w:right="42" w:firstLine="2834" w:firstLineChars="1181"/>
        <w:textAlignment w:val="baseline"/>
        <w:rPr>
          <w:sz w:val="24"/>
          <w:highlight w:val="none"/>
        </w:rPr>
      </w:pPr>
      <w:r>
        <w:rPr>
          <w:sz w:val="24"/>
          <w:highlight w:val="none"/>
        </w:rPr>
        <w:t>法人代表</w:t>
      </w:r>
      <w:r>
        <w:rPr>
          <w:rFonts w:hint="eastAsia"/>
          <w:sz w:val="24"/>
          <w:highlight w:val="none"/>
        </w:rPr>
        <w:t>人（或分/支公司负责人）</w:t>
      </w:r>
      <w:r>
        <w:rPr>
          <w:sz w:val="24"/>
          <w:highlight w:val="none"/>
        </w:rPr>
        <w:t>或委托</w:t>
      </w:r>
      <w:r>
        <w:rPr>
          <w:rFonts w:hint="eastAsia"/>
          <w:sz w:val="24"/>
          <w:highlight w:val="none"/>
          <w:lang w:val="en-US" w:eastAsia="zh-CN"/>
        </w:rPr>
        <w:t>代理</w:t>
      </w:r>
      <w:r>
        <w:rPr>
          <w:sz w:val="24"/>
          <w:highlight w:val="none"/>
        </w:rPr>
        <w:t>人</w:t>
      </w:r>
    </w:p>
    <w:p w14:paraId="57E03117">
      <w:pPr>
        <w:tabs>
          <w:tab w:val="left" w:pos="5665"/>
          <w:tab w:val="right" w:pos="8360"/>
        </w:tabs>
        <w:adjustRightInd w:val="0"/>
        <w:spacing w:line="400" w:lineRule="atLeast"/>
        <w:ind w:right="42" w:firstLine="2834" w:firstLineChars="1181"/>
        <w:textAlignment w:val="baseline"/>
        <w:rPr>
          <w:sz w:val="24"/>
          <w:highlight w:val="none"/>
          <w:u w:val="single"/>
        </w:rPr>
      </w:pPr>
      <w:r>
        <w:rPr>
          <w:sz w:val="24"/>
          <w:highlight w:val="none"/>
        </w:rPr>
        <w:t>（签名）：</w:t>
      </w:r>
      <w:r>
        <w:rPr>
          <w:sz w:val="24"/>
          <w:highlight w:val="none"/>
          <w:u w:val="single"/>
        </w:rPr>
        <w:t xml:space="preserve">             </w:t>
      </w:r>
    </w:p>
    <w:p w14:paraId="1BCD7A45">
      <w:pPr>
        <w:tabs>
          <w:tab w:val="left" w:pos="5665"/>
          <w:tab w:val="right" w:pos="8360"/>
        </w:tabs>
        <w:adjustRightInd w:val="0"/>
        <w:spacing w:line="400" w:lineRule="atLeast"/>
        <w:ind w:right="42" w:firstLine="2834" w:firstLineChars="1181"/>
        <w:textAlignment w:val="baseline"/>
        <w:rPr>
          <w:sz w:val="24"/>
          <w:highlight w:val="none"/>
        </w:rPr>
      </w:pPr>
      <w:r>
        <w:rPr>
          <w:sz w:val="24"/>
          <w:highlight w:val="none"/>
        </w:rPr>
        <w:t>日 期：______________________</w:t>
      </w:r>
    </w:p>
    <w:p w14:paraId="4EC8221C">
      <w:pPr>
        <w:spacing w:line="240" w:lineRule="auto"/>
        <w:ind w:firstLine="0" w:firstLineChars="0"/>
        <w:rPr>
          <w:highlight w:val="none"/>
        </w:rPr>
      </w:pPr>
    </w:p>
    <w:sectPr>
      <w:headerReference r:id="rId21" w:type="default"/>
      <w:footerReference r:id="rId22" w:type="default"/>
      <w:pgSz w:w="11907" w:h="17010"/>
      <w:pgMar w:top="1440" w:right="1797" w:bottom="1440" w:left="1797" w:header="737" w:footer="737" w:gutter="0"/>
      <w:cols w:space="0"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310FBD8-A015-4DE1-AAC3-87EEEFEE4DE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50416621-A41B-4F56-90CE-E16EED214472}"/>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embedRegular r:id="rId3" w:fontKey="{F85BBD76-E161-4321-A025-9300BA19D144}"/>
  </w:font>
  <w:font w:name="Verdana">
    <w:panose1 w:val="020B0604030504040204"/>
    <w:charset w:val="00"/>
    <w:family w:val="swiss"/>
    <w:pitch w:val="default"/>
    <w:sig w:usb0="A00006FF" w:usb1="4000205B" w:usb2="00000010" w:usb3="00000000" w:csb0="2000019F" w:csb1="00000000"/>
  </w:font>
  <w:font w:name="Microsoft YaHei UI">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
    <w:altName w:val="Arial"/>
    <w:panose1 w:val="00000000000000000000"/>
    <w:charset w:val="00"/>
    <w:family w:val="auto"/>
    <w:pitch w:val="default"/>
    <w:sig w:usb0="00000000" w:usb1="00000000" w:usb2="00000000" w:usb3="00000000" w:csb0="00000001" w:csb1="00000000"/>
  </w:font>
  <w:font w:name="Helvetica Neue">
    <w:altName w:val="Times New Roman"/>
    <w:panose1 w:val="00000000000000000000"/>
    <w:charset w:val="00"/>
    <w:family w:val="roman"/>
    <w:pitch w:val="default"/>
    <w:sig w:usb0="00000000" w:usb1="00000000" w:usb2="00000000" w:usb3="00000000" w:csb0="00000001" w:csb1="00000000"/>
  </w:font>
  <w:font w:name="Arial Unicode MS">
    <w:altName w:val="宋体"/>
    <w:panose1 w:val="020B0604020202020204"/>
    <w:charset w:val="86"/>
    <w:family w:val="roman"/>
    <w:pitch w:val="default"/>
    <w:sig w:usb0="00000000" w:usb1="00000000" w:usb2="0000003F" w:usb3="00000000" w:csb0="603F01FF" w:csb1="FFFF0000"/>
  </w:font>
  <w:font w:name="EU-F1">
    <w:altName w:val="宋体"/>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embedRegular r:id="rId4" w:fontKey="{043B8943-E37E-4413-81C6-5BCB3DC98CC3}"/>
  </w:font>
  <w:font w:name="方正仿宋_GBK">
    <w:panose1 w:val="03000509000000000000"/>
    <w:charset w:val="86"/>
    <w:family w:val="script"/>
    <w:pitch w:val="default"/>
    <w:sig w:usb0="00000001" w:usb1="080E0000" w:usb2="00000000" w:usb3="00000000" w:csb0="00040000" w:csb1="00000000"/>
    <w:embedRegular r:id="rId5" w:fontKey="{03A1ED09-856F-44C3-9F30-FAE66E0389CD}"/>
  </w:font>
  <w:font w:name="Segoe UI Symbol">
    <w:panose1 w:val="020B0502040204020203"/>
    <w:charset w:val="00"/>
    <w:family w:val="swiss"/>
    <w:pitch w:val="default"/>
    <w:sig w:usb0="800001E3" w:usb1="1200FFEF" w:usb2="00040000" w:usb3="04000000" w:csb0="00000001" w:csb1="40000000"/>
    <w:embedRegular r:id="rId6" w:fontKey="{4114ED3B-E6A5-4BB8-836F-4514AAF7D704}"/>
  </w:font>
  <w:font w:name="Wingdings 2">
    <w:panose1 w:val="05020102010507070707"/>
    <w:charset w:val="02"/>
    <w:family w:val="roman"/>
    <w:pitch w:val="default"/>
    <w:sig w:usb0="00000000" w:usb1="00000000" w:usb2="00000000" w:usb3="00000000" w:csb0="80000000" w:csb1="00000000"/>
    <w:embedRegular r:id="rId7" w:fontKey="{6F037453-F112-4CBB-977F-2AC6919838FC}"/>
  </w:font>
  <w:font w:name="方正黑体_GBK">
    <w:panose1 w:val="03000509000000000000"/>
    <w:charset w:val="86"/>
    <w:family w:val="auto"/>
    <w:pitch w:val="default"/>
    <w:sig w:usb0="00000001" w:usb1="080E0000" w:usb2="00000000" w:usb3="00000000" w:csb0="00040000" w:csb1="00000000"/>
    <w:embedRegular r:id="rId8" w:fontKey="{C2CFF2FB-B528-4765-A4C4-692A8C41DE13}"/>
  </w:font>
  <w:font w:name="方正楷体_GBK">
    <w:panose1 w:val="03000509000000000000"/>
    <w:charset w:val="86"/>
    <w:family w:val="auto"/>
    <w:pitch w:val="default"/>
    <w:sig w:usb0="00000001" w:usb1="080E0000" w:usb2="00000000" w:usb3="00000000" w:csb0="00040000" w:csb1="00000000"/>
    <w:embedRegular r:id="rId9" w:fontKey="{27503728-FD9B-4B44-B5ED-C6D0DDBD6758}"/>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6366C2">
    <w:pPr>
      <w:pStyle w:val="33"/>
      <w:ind w:firstLine="360"/>
      <w:jc w:val="right"/>
    </w:pPr>
  </w:p>
  <w:p w14:paraId="0C6A13CB">
    <w:pPr>
      <w:pStyle w:val="33"/>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8D110B">
    <w:pPr>
      <w:pStyle w:val="33"/>
      <w:ind w:firstLine="360"/>
      <w:jc w:val="right"/>
    </w:pPr>
  </w:p>
  <w:p w14:paraId="61D3DB70">
    <w:pPr>
      <w:pStyle w:val="33"/>
      <w:ind w:firstLine="360"/>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1A9B7D">
    <w:pPr>
      <w:pStyle w:val="33"/>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98C194">
    <w:pPr>
      <w:pStyle w:val="33"/>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7F698D">
    <w:pPr>
      <w:pStyle w:val="33"/>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6C599D6">
                          <w:pPr>
                            <w:pStyle w:val="33"/>
                            <w:ind w:firstLine="360"/>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OLgbwxAgAAZQ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QFJmFGiWYKHb98/3b5&#10;8evy8yvBHQRqrF8g7sEiMrRvTYvg4d7jMvJuS6fiLxgR+CHv+SqvaAPh8dF8Op+P4eLwDQfgZ4/P&#10;rfPhnTCKRCOnDv1LsrLTzocudAiJ2bTZ1lKmHkpNmpzOXr8ZpwdXD8CljrEiTUMPEyl1pUcrtPu2&#10;57k3xRk0nekmxVu+rVHKjvlwzxxGA+VjecIdPqU0SGl6i5LKuC//uo/x6Bi8lDQYtZxqbBYl8r1G&#10;JwEYBsMNxn4w9FHdGszuBEtpeTLxwAU5mKUz6jM2ah1zwMU0R6achsG8Dd24YyO5WK9TEGbPsrDT&#10;D5ZH6CiPt+tjgJxJ5ShKpwS6Ew+YvtSnflPieP95TlGP/w6r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Di4G8MQIAAGUEAAAOAAAAAAAAAAEAIAAAAB8BAABkcnMvZTJvRG9jLnhtbFBLBQYA&#10;AAAABgAGAFkBAADCBQAAAAA=&#10;">
              <v:fill on="f" focussize="0,0"/>
              <v:stroke on="f" weight="0.5pt"/>
              <v:imagedata o:title=""/>
              <o:lock v:ext="edit" aspectratio="f"/>
              <v:textbox inset="0mm,0mm,0mm,0mm" style="mso-fit-shape-to-text:t;">
                <w:txbxContent>
                  <w:p w14:paraId="16C599D6">
                    <w:pPr>
                      <w:pStyle w:val="33"/>
                      <w:ind w:firstLine="360"/>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3F84F9">
    <w:pPr>
      <w:pStyle w:val="33"/>
      <w:ind w:right="360" w:firstLine="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1F8214">
                          <w:pPr>
                            <w:pStyle w:val="33"/>
                            <w:ind w:firstLine="36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m63mM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F110yh4pfv3y4/&#10;fl1+fiU4g0CN9XPE7SwiQ/vWtAgezj0OI++2dCp+wYjAD3nPV3lFGwiPl2bT2WwMF4dv2AA/e7xu&#10;nQ/vhFEkGjl1qF+SlZ22PnShQ0jMps2mljLVUGrS5PTm9ZtxunD1AFxq5IgkusdGK7T7tme2N8UZ&#10;xJzpesNbvqmRfMt8eGAOzYAHY1zCPZZSGiQxvUVJZdyXf53HeNQIXkoaNFdONWaJEvleo3YADIPh&#10;BmM/GPqo7gy6dYIxtDyZuOCCHMzSGfUZM7SKOeBimiNTTsNg3oWuwTGDXKxWKQjdZlnY6p3lETqK&#10;5+3qGCBg0jWK0inRa4V+S5XpZyM29J/7FPX4P1j+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Jut5jKwIAAFcEAAAOAAAAAAAAAAEAIAAAAB8BAABkcnMvZTJvRG9jLnhtbFBLBQYAAAAABgAG&#10;AFkBAAC8BQAAAAA=&#10;">
              <v:fill on="f" focussize="0,0"/>
              <v:stroke on="f" weight="0.5pt"/>
              <v:imagedata o:title=""/>
              <o:lock v:ext="edit" aspectratio="f"/>
              <v:textbox inset="0mm,0mm,0mm,0mm" style="mso-fit-shape-to-text:t;">
                <w:txbxContent>
                  <w:p w14:paraId="661F8214">
                    <w:pPr>
                      <w:pStyle w:val="33"/>
                      <w:ind w:firstLine="36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CCB13F">
    <w:pPr>
      <w:tabs>
        <w:tab w:val="center" w:pos="4153"/>
        <w:tab w:val="right" w:pos="8306"/>
      </w:tabs>
      <w:snapToGrid w:val="0"/>
      <w:spacing w:after="200" w:line="276" w:lineRule="auto"/>
      <w:ind w:firstLine="480" w:firstLineChars="200"/>
      <w:rPr>
        <w:rFonts w:ascii="Times New Roman" w:hAnsi="Times New Roman" w:eastAsia="方正仿宋_GBK" w:cs="方正仿宋_GBK"/>
        <w:sz w:val="24"/>
        <w:lang w:eastAsia="en-US" w:bidi="en-US"/>
      </w:rPr>
    </w:pPr>
    <w:r>
      <w:rPr>
        <w:rFonts w:ascii="Times New Roman" w:hAnsi="Times New Roman" w:eastAsia="宋体" w:cs="Times New Roman"/>
        <w:sz w:val="24"/>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93A6A97">
                          <w:pPr>
                            <w:snapToGrid w:val="0"/>
                            <w:spacing w:line="400" w:lineRule="exact"/>
                            <w:ind w:firstLine="0" w:firstLineChars="0"/>
                            <w:jc w:val="center"/>
                            <w:rPr>
                              <w:rFonts w:ascii="Times New Roman" w:hAnsi="Times New Roman" w:eastAsia="宋体" w:cs="Times New Roman"/>
                              <w:sz w:val="18"/>
                              <w:szCs w:val="18"/>
                            </w:rPr>
                          </w:pPr>
                          <w:r>
                            <w:rPr>
                              <w:rFonts w:ascii="Times New Roman" w:hAnsi="Times New Roman" w:eastAsia="宋体" w:cs="Times New Roman"/>
                              <w:sz w:val="18"/>
                              <w:szCs w:val="18"/>
                            </w:rPr>
                            <w:t xml:space="preserve">第 </w:t>
                          </w:r>
                          <w:r>
                            <w:rPr>
                              <w:rFonts w:ascii="Times New Roman" w:hAnsi="Times New Roman" w:eastAsia="宋体" w:cs="Times New Roman"/>
                              <w:sz w:val="18"/>
                              <w:szCs w:val="18"/>
                            </w:rPr>
                            <w:fldChar w:fldCharType="begin"/>
                          </w:r>
                          <w:r>
                            <w:rPr>
                              <w:rFonts w:ascii="Times New Roman" w:hAnsi="Times New Roman" w:eastAsia="宋体" w:cs="Times New Roman"/>
                              <w:sz w:val="18"/>
                              <w:szCs w:val="18"/>
                            </w:rPr>
                            <w:instrText xml:space="preserve"> PAGE  \* MERGEFORMAT </w:instrText>
                          </w:r>
                          <w:r>
                            <w:rPr>
                              <w:rFonts w:ascii="Times New Roman" w:hAnsi="Times New Roman" w:eastAsia="宋体" w:cs="Times New Roman"/>
                              <w:sz w:val="18"/>
                              <w:szCs w:val="18"/>
                            </w:rPr>
                            <w:fldChar w:fldCharType="separate"/>
                          </w:r>
                          <w:r>
                            <w:rPr>
                              <w:rFonts w:ascii="Times New Roman" w:hAnsi="Times New Roman" w:eastAsia="宋体" w:cs="Times New Roman"/>
                              <w:sz w:val="18"/>
                              <w:szCs w:val="18"/>
                            </w:rPr>
                            <w:t>4</w:t>
                          </w:r>
                          <w:r>
                            <w:rPr>
                              <w:rFonts w:ascii="Times New Roman" w:hAnsi="Times New Roman" w:eastAsia="宋体" w:cs="Times New Roman"/>
                              <w:sz w:val="18"/>
                              <w:szCs w:val="18"/>
                            </w:rPr>
                            <w:fldChar w:fldCharType="end"/>
                          </w:r>
                          <w:r>
                            <w:rPr>
                              <w:rFonts w:ascii="Times New Roman" w:hAnsi="Times New Roman" w:eastAsia="宋体" w:cs="Times New Roman"/>
                              <w:sz w:val="18"/>
                              <w:szCs w:val="18"/>
                            </w:rPr>
                            <w:t xml:space="preserve"> 页 共 </w:t>
                          </w:r>
                          <w:r>
                            <w:rPr>
                              <w:rFonts w:ascii="Times New Roman" w:hAnsi="Times New Roman" w:eastAsia="宋体" w:cs="Times New Roman"/>
                              <w:sz w:val="18"/>
                              <w:szCs w:val="18"/>
                            </w:rPr>
                            <w:fldChar w:fldCharType="begin"/>
                          </w:r>
                          <w:r>
                            <w:rPr>
                              <w:rFonts w:ascii="Times New Roman" w:hAnsi="Times New Roman" w:eastAsia="宋体" w:cs="Times New Roman"/>
                              <w:sz w:val="18"/>
                              <w:szCs w:val="18"/>
                            </w:rPr>
                            <w:instrText xml:space="preserve"> NUMPAGES  \* MERGEFORMAT </w:instrText>
                          </w:r>
                          <w:r>
                            <w:rPr>
                              <w:rFonts w:ascii="Times New Roman" w:hAnsi="Times New Roman" w:eastAsia="宋体" w:cs="Times New Roman"/>
                              <w:sz w:val="18"/>
                              <w:szCs w:val="18"/>
                            </w:rPr>
                            <w:fldChar w:fldCharType="separate"/>
                          </w:r>
                          <w:r>
                            <w:rPr>
                              <w:rFonts w:ascii="Times New Roman" w:hAnsi="Times New Roman" w:eastAsia="宋体" w:cs="Times New Roman"/>
                              <w:sz w:val="18"/>
                              <w:szCs w:val="18"/>
                            </w:rPr>
                            <w:t>58</w:t>
                          </w:r>
                          <w:r>
                            <w:rPr>
                              <w:rFonts w:ascii="Times New Roman" w:hAnsi="Times New Roman" w:eastAsia="宋体" w:cs="Times New Roman"/>
                              <w:sz w:val="18"/>
                              <w:szCs w:val="18"/>
                            </w:rPr>
                            <w:fldChar w:fldCharType="end"/>
                          </w:r>
                          <w:r>
                            <w:rPr>
                              <w:rFonts w:ascii="Times New Roman" w:hAnsi="Times New Roman" w:eastAsia="宋体" w:cs="Times New Roman"/>
                              <w:sz w:val="18"/>
                              <w:szCs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liw6YyAgAAZQ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JbSjRT6Pjpx/fT&#10;z4fTr28EdxCotX6GuHuLyNC9Mx2Ch3uPy8i7q5yKv2BE4Ie8x4u8oguEx0fTyXSaw8XhGw7Azx6f&#10;W+fDe2EUiUZBHfqXZGWHjQ996BASs2mzbqRMPZSatAW9ev0mTw8uHoBLHWNFmoYzTKTUlx6t0G27&#10;M8+tKY+g6Uw/Kd7ydYNSNsyHO+YwGigfyxNu8amkQUpztiipjfv6r/sYj47BS0mLUSuoxmZRIj9o&#10;dBKAYTDcYGwHQ+/VjcHsjrGUlicTD1yQg1k5o75go5YxB1xMc2QqaBjMm9CPOzaSi+UyBWH2LAsb&#10;fW95hI7yeLvcB8iZVI6i9EqgO/GA6Ut9Om9KHO8/zynq8d9h8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yWLDpjICAABlBAAADgAAAAAAAAABACAAAAAfAQAAZHJzL2Uyb0RvYy54bWxQSwUG&#10;AAAAAAYABgBZAQAAwwUAAAAA&#10;">
              <v:fill on="f" focussize="0,0"/>
              <v:stroke on="f" weight="0.5pt"/>
              <v:imagedata o:title=""/>
              <o:lock v:ext="edit" aspectratio="f"/>
              <v:textbox inset="0mm,0mm,0mm,0mm" style="mso-fit-shape-to-text:t;">
                <w:txbxContent>
                  <w:p w14:paraId="793A6A97">
                    <w:pPr>
                      <w:snapToGrid w:val="0"/>
                      <w:spacing w:line="400" w:lineRule="exact"/>
                      <w:ind w:firstLine="0" w:firstLineChars="0"/>
                      <w:jc w:val="center"/>
                      <w:rPr>
                        <w:rFonts w:ascii="Times New Roman" w:hAnsi="Times New Roman" w:eastAsia="宋体" w:cs="Times New Roman"/>
                        <w:sz w:val="18"/>
                        <w:szCs w:val="18"/>
                      </w:rPr>
                    </w:pPr>
                    <w:r>
                      <w:rPr>
                        <w:rFonts w:ascii="Times New Roman" w:hAnsi="Times New Roman" w:eastAsia="宋体" w:cs="Times New Roman"/>
                        <w:sz w:val="18"/>
                        <w:szCs w:val="18"/>
                      </w:rPr>
                      <w:t xml:space="preserve">第 </w:t>
                    </w:r>
                    <w:r>
                      <w:rPr>
                        <w:rFonts w:ascii="Times New Roman" w:hAnsi="Times New Roman" w:eastAsia="宋体" w:cs="Times New Roman"/>
                        <w:sz w:val="18"/>
                        <w:szCs w:val="18"/>
                      </w:rPr>
                      <w:fldChar w:fldCharType="begin"/>
                    </w:r>
                    <w:r>
                      <w:rPr>
                        <w:rFonts w:ascii="Times New Roman" w:hAnsi="Times New Roman" w:eastAsia="宋体" w:cs="Times New Roman"/>
                        <w:sz w:val="18"/>
                        <w:szCs w:val="18"/>
                      </w:rPr>
                      <w:instrText xml:space="preserve"> PAGE  \* MERGEFORMAT </w:instrText>
                    </w:r>
                    <w:r>
                      <w:rPr>
                        <w:rFonts w:ascii="Times New Roman" w:hAnsi="Times New Roman" w:eastAsia="宋体" w:cs="Times New Roman"/>
                        <w:sz w:val="18"/>
                        <w:szCs w:val="18"/>
                      </w:rPr>
                      <w:fldChar w:fldCharType="separate"/>
                    </w:r>
                    <w:r>
                      <w:rPr>
                        <w:rFonts w:ascii="Times New Roman" w:hAnsi="Times New Roman" w:eastAsia="宋体" w:cs="Times New Roman"/>
                        <w:sz w:val="18"/>
                        <w:szCs w:val="18"/>
                      </w:rPr>
                      <w:t>4</w:t>
                    </w:r>
                    <w:r>
                      <w:rPr>
                        <w:rFonts w:ascii="Times New Roman" w:hAnsi="Times New Roman" w:eastAsia="宋体" w:cs="Times New Roman"/>
                        <w:sz w:val="18"/>
                        <w:szCs w:val="18"/>
                      </w:rPr>
                      <w:fldChar w:fldCharType="end"/>
                    </w:r>
                    <w:r>
                      <w:rPr>
                        <w:rFonts w:ascii="Times New Roman" w:hAnsi="Times New Roman" w:eastAsia="宋体" w:cs="Times New Roman"/>
                        <w:sz w:val="18"/>
                        <w:szCs w:val="18"/>
                      </w:rPr>
                      <w:t xml:space="preserve"> 页 共 </w:t>
                    </w:r>
                    <w:r>
                      <w:rPr>
                        <w:rFonts w:ascii="Times New Roman" w:hAnsi="Times New Roman" w:eastAsia="宋体" w:cs="Times New Roman"/>
                        <w:sz w:val="18"/>
                        <w:szCs w:val="18"/>
                      </w:rPr>
                      <w:fldChar w:fldCharType="begin"/>
                    </w:r>
                    <w:r>
                      <w:rPr>
                        <w:rFonts w:ascii="Times New Roman" w:hAnsi="Times New Roman" w:eastAsia="宋体" w:cs="Times New Roman"/>
                        <w:sz w:val="18"/>
                        <w:szCs w:val="18"/>
                      </w:rPr>
                      <w:instrText xml:space="preserve"> NUMPAGES  \* MERGEFORMAT </w:instrText>
                    </w:r>
                    <w:r>
                      <w:rPr>
                        <w:rFonts w:ascii="Times New Roman" w:hAnsi="Times New Roman" w:eastAsia="宋体" w:cs="Times New Roman"/>
                        <w:sz w:val="18"/>
                        <w:szCs w:val="18"/>
                      </w:rPr>
                      <w:fldChar w:fldCharType="separate"/>
                    </w:r>
                    <w:r>
                      <w:rPr>
                        <w:rFonts w:ascii="Times New Roman" w:hAnsi="Times New Roman" w:eastAsia="宋体" w:cs="Times New Roman"/>
                        <w:sz w:val="18"/>
                        <w:szCs w:val="18"/>
                      </w:rPr>
                      <w:t>58</w:t>
                    </w:r>
                    <w:r>
                      <w:rPr>
                        <w:rFonts w:ascii="Times New Roman" w:hAnsi="Times New Roman" w:eastAsia="宋体" w:cs="Times New Roman"/>
                        <w:sz w:val="18"/>
                        <w:szCs w:val="18"/>
                      </w:rPr>
                      <w:fldChar w:fldCharType="end"/>
                    </w:r>
                    <w:r>
                      <w:rPr>
                        <w:rFonts w:ascii="Times New Roman" w:hAnsi="Times New Roman" w:eastAsia="宋体" w:cs="Times New Roman"/>
                        <w:sz w:val="18"/>
                        <w:szCs w:val="18"/>
                      </w:rPr>
                      <w:t xml:space="preserve"> 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492D7A">
    <w:pPr>
      <w:tabs>
        <w:tab w:val="center" w:pos="4153"/>
        <w:tab w:val="right" w:pos="8306"/>
      </w:tabs>
      <w:snapToGrid w:val="0"/>
      <w:spacing w:after="200" w:line="276" w:lineRule="auto"/>
      <w:ind w:firstLine="360" w:firstLineChars="200"/>
      <w:rPr>
        <w:rFonts w:ascii="Calibri" w:hAnsi="Calibri" w:eastAsia="宋体" w:cs="Times New Roman"/>
        <w:sz w:val="18"/>
        <w:szCs w:val="18"/>
        <w:lang w:eastAsia="en-US" w:bidi="en-US"/>
      </w:rPr>
    </w:pPr>
    <w:r>
      <w:rPr>
        <w:rFonts w:ascii="Times New Roman" w:hAnsi="Times New Roman" w:eastAsia="宋体" w:cs="Times New Roman"/>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A9865CC">
                          <w:pPr>
                            <w:snapToGrid w:val="0"/>
                            <w:spacing w:line="400" w:lineRule="exact"/>
                            <w:ind w:firstLine="360" w:firstLineChars="200"/>
                            <w:jc w:val="left"/>
                            <w:rPr>
                              <w:rFonts w:ascii="Times New Roman" w:hAnsi="Times New Roman" w:eastAsia="宋体" w:cs="Times New Roman"/>
                              <w:sz w:val="18"/>
                              <w:szCs w:val="18"/>
                            </w:rPr>
                          </w:pPr>
                          <w:r>
                            <w:rPr>
                              <w:rFonts w:ascii="Times New Roman" w:hAnsi="Times New Roman" w:eastAsia="宋体" w:cs="Times New Roman"/>
                              <w:sz w:val="18"/>
                              <w:szCs w:val="18"/>
                            </w:rPr>
                            <w:t xml:space="preserve">第 </w:t>
                          </w:r>
                          <w:r>
                            <w:rPr>
                              <w:rFonts w:ascii="Times New Roman" w:hAnsi="Times New Roman" w:eastAsia="宋体" w:cs="Times New Roman"/>
                              <w:sz w:val="18"/>
                              <w:szCs w:val="18"/>
                            </w:rPr>
                            <w:fldChar w:fldCharType="begin"/>
                          </w:r>
                          <w:r>
                            <w:rPr>
                              <w:rFonts w:ascii="Times New Roman" w:hAnsi="Times New Roman" w:eastAsia="宋体" w:cs="Times New Roman"/>
                              <w:sz w:val="18"/>
                              <w:szCs w:val="18"/>
                            </w:rPr>
                            <w:instrText xml:space="preserve"> PAGE  \* MERGEFORMAT </w:instrText>
                          </w:r>
                          <w:r>
                            <w:rPr>
                              <w:rFonts w:ascii="Times New Roman" w:hAnsi="Times New Roman" w:eastAsia="宋体" w:cs="Times New Roman"/>
                              <w:sz w:val="18"/>
                              <w:szCs w:val="18"/>
                            </w:rPr>
                            <w:fldChar w:fldCharType="separate"/>
                          </w:r>
                          <w:r>
                            <w:rPr>
                              <w:rFonts w:ascii="Times New Roman" w:hAnsi="Times New Roman" w:eastAsia="宋体" w:cs="Times New Roman"/>
                              <w:sz w:val="18"/>
                              <w:szCs w:val="18"/>
                            </w:rPr>
                            <w:t>3</w:t>
                          </w:r>
                          <w:r>
                            <w:rPr>
                              <w:rFonts w:ascii="Times New Roman" w:hAnsi="Times New Roman" w:eastAsia="宋体" w:cs="Times New Roman"/>
                              <w:sz w:val="18"/>
                              <w:szCs w:val="18"/>
                            </w:rPr>
                            <w:fldChar w:fldCharType="end"/>
                          </w:r>
                          <w:r>
                            <w:rPr>
                              <w:rFonts w:ascii="Times New Roman" w:hAnsi="Times New Roman" w:eastAsia="宋体" w:cs="Times New Roman"/>
                              <w:sz w:val="18"/>
                              <w:szCs w:val="18"/>
                            </w:rPr>
                            <w:t xml:space="preserve"> 页 共 </w:t>
                          </w:r>
                          <w:r>
                            <w:rPr>
                              <w:rFonts w:ascii="Times New Roman" w:hAnsi="Times New Roman" w:eastAsia="宋体" w:cs="Times New Roman"/>
                              <w:sz w:val="18"/>
                              <w:szCs w:val="18"/>
                            </w:rPr>
                            <w:fldChar w:fldCharType="begin"/>
                          </w:r>
                          <w:r>
                            <w:rPr>
                              <w:rFonts w:ascii="Times New Roman" w:hAnsi="Times New Roman" w:eastAsia="宋体" w:cs="Times New Roman"/>
                              <w:sz w:val="18"/>
                              <w:szCs w:val="18"/>
                            </w:rPr>
                            <w:instrText xml:space="preserve"> NUMPAGES  \* MERGEFORMAT </w:instrText>
                          </w:r>
                          <w:r>
                            <w:rPr>
                              <w:rFonts w:ascii="Times New Roman" w:hAnsi="Times New Roman" w:eastAsia="宋体" w:cs="Times New Roman"/>
                              <w:sz w:val="18"/>
                              <w:szCs w:val="18"/>
                            </w:rPr>
                            <w:fldChar w:fldCharType="separate"/>
                          </w:r>
                          <w:r>
                            <w:rPr>
                              <w:rFonts w:ascii="Times New Roman" w:hAnsi="Times New Roman" w:eastAsia="宋体" w:cs="Times New Roman"/>
                              <w:sz w:val="18"/>
                              <w:szCs w:val="18"/>
                            </w:rPr>
                            <w:t>58</w:t>
                          </w:r>
                          <w:r>
                            <w:rPr>
                              <w:rFonts w:ascii="Times New Roman" w:hAnsi="Times New Roman" w:eastAsia="宋体" w:cs="Times New Roman"/>
                              <w:sz w:val="18"/>
                              <w:szCs w:val="18"/>
                            </w:rPr>
                            <w:fldChar w:fldCharType="end"/>
                          </w:r>
                          <w:r>
                            <w:rPr>
                              <w:rFonts w:ascii="Times New Roman" w:hAnsi="Times New Roman" w:eastAsia="宋体" w:cs="Times New Roman"/>
                              <w:sz w:val="18"/>
                              <w:szCs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bxmbQ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hMmzLGz1&#10;zvIIHeXxdnUMkDOpHEXplEB34gGzl/rU70kc7j/PKerx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G8Zm0MQIAAGMEAAAOAAAAAAAAAAEAIAAAAB8BAABkcnMvZTJvRG9jLnhtbFBLBQYA&#10;AAAABgAGAFkBAADCBQAAAAA=&#10;">
              <v:fill on="f" focussize="0,0"/>
              <v:stroke on="f" weight="0.5pt"/>
              <v:imagedata o:title=""/>
              <o:lock v:ext="edit" aspectratio="f"/>
              <v:textbox inset="0mm,0mm,0mm,0mm" style="mso-fit-shape-to-text:t;">
                <w:txbxContent>
                  <w:p w14:paraId="7A9865CC">
                    <w:pPr>
                      <w:snapToGrid w:val="0"/>
                      <w:spacing w:line="400" w:lineRule="exact"/>
                      <w:ind w:firstLine="360" w:firstLineChars="200"/>
                      <w:jc w:val="left"/>
                      <w:rPr>
                        <w:rFonts w:ascii="Times New Roman" w:hAnsi="Times New Roman" w:eastAsia="宋体" w:cs="Times New Roman"/>
                        <w:sz w:val="18"/>
                        <w:szCs w:val="18"/>
                      </w:rPr>
                    </w:pPr>
                    <w:r>
                      <w:rPr>
                        <w:rFonts w:ascii="Times New Roman" w:hAnsi="Times New Roman" w:eastAsia="宋体" w:cs="Times New Roman"/>
                        <w:sz w:val="18"/>
                        <w:szCs w:val="18"/>
                      </w:rPr>
                      <w:t xml:space="preserve">第 </w:t>
                    </w:r>
                    <w:r>
                      <w:rPr>
                        <w:rFonts w:ascii="Times New Roman" w:hAnsi="Times New Roman" w:eastAsia="宋体" w:cs="Times New Roman"/>
                        <w:sz w:val="18"/>
                        <w:szCs w:val="18"/>
                      </w:rPr>
                      <w:fldChar w:fldCharType="begin"/>
                    </w:r>
                    <w:r>
                      <w:rPr>
                        <w:rFonts w:ascii="Times New Roman" w:hAnsi="Times New Roman" w:eastAsia="宋体" w:cs="Times New Roman"/>
                        <w:sz w:val="18"/>
                        <w:szCs w:val="18"/>
                      </w:rPr>
                      <w:instrText xml:space="preserve"> PAGE  \* MERGEFORMAT </w:instrText>
                    </w:r>
                    <w:r>
                      <w:rPr>
                        <w:rFonts w:ascii="Times New Roman" w:hAnsi="Times New Roman" w:eastAsia="宋体" w:cs="Times New Roman"/>
                        <w:sz w:val="18"/>
                        <w:szCs w:val="18"/>
                      </w:rPr>
                      <w:fldChar w:fldCharType="separate"/>
                    </w:r>
                    <w:r>
                      <w:rPr>
                        <w:rFonts w:ascii="Times New Roman" w:hAnsi="Times New Roman" w:eastAsia="宋体" w:cs="Times New Roman"/>
                        <w:sz w:val="18"/>
                        <w:szCs w:val="18"/>
                      </w:rPr>
                      <w:t>3</w:t>
                    </w:r>
                    <w:r>
                      <w:rPr>
                        <w:rFonts w:ascii="Times New Roman" w:hAnsi="Times New Roman" w:eastAsia="宋体" w:cs="Times New Roman"/>
                        <w:sz w:val="18"/>
                        <w:szCs w:val="18"/>
                      </w:rPr>
                      <w:fldChar w:fldCharType="end"/>
                    </w:r>
                    <w:r>
                      <w:rPr>
                        <w:rFonts w:ascii="Times New Roman" w:hAnsi="Times New Roman" w:eastAsia="宋体" w:cs="Times New Roman"/>
                        <w:sz w:val="18"/>
                        <w:szCs w:val="18"/>
                      </w:rPr>
                      <w:t xml:space="preserve"> 页 共 </w:t>
                    </w:r>
                    <w:r>
                      <w:rPr>
                        <w:rFonts w:ascii="Times New Roman" w:hAnsi="Times New Roman" w:eastAsia="宋体" w:cs="Times New Roman"/>
                        <w:sz w:val="18"/>
                        <w:szCs w:val="18"/>
                      </w:rPr>
                      <w:fldChar w:fldCharType="begin"/>
                    </w:r>
                    <w:r>
                      <w:rPr>
                        <w:rFonts w:ascii="Times New Roman" w:hAnsi="Times New Roman" w:eastAsia="宋体" w:cs="Times New Roman"/>
                        <w:sz w:val="18"/>
                        <w:szCs w:val="18"/>
                      </w:rPr>
                      <w:instrText xml:space="preserve"> NUMPAGES  \* MERGEFORMAT </w:instrText>
                    </w:r>
                    <w:r>
                      <w:rPr>
                        <w:rFonts w:ascii="Times New Roman" w:hAnsi="Times New Roman" w:eastAsia="宋体" w:cs="Times New Roman"/>
                        <w:sz w:val="18"/>
                        <w:szCs w:val="18"/>
                      </w:rPr>
                      <w:fldChar w:fldCharType="separate"/>
                    </w:r>
                    <w:r>
                      <w:rPr>
                        <w:rFonts w:ascii="Times New Roman" w:hAnsi="Times New Roman" w:eastAsia="宋体" w:cs="Times New Roman"/>
                        <w:sz w:val="18"/>
                        <w:szCs w:val="18"/>
                      </w:rPr>
                      <w:t>58</w:t>
                    </w:r>
                    <w:r>
                      <w:rPr>
                        <w:rFonts w:ascii="Times New Roman" w:hAnsi="Times New Roman" w:eastAsia="宋体" w:cs="Times New Roman"/>
                        <w:sz w:val="18"/>
                        <w:szCs w:val="18"/>
                      </w:rPr>
                      <w:fldChar w:fldCharType="end"/>
                    </w:r>
                    <w:r>
                      <w:rPr>
                        <w:rFonts w:ascii="Times New Roman" w:hAnsi="Times New Roman" w:eastAsia="宋体" w:cs="Times New Roman"/>
                        <w:sz w:val="18"/>
                        <w:szCs w:val="18"/>
                      </w:rPr>
                      <w:t xml:space="preserve"> 页</w:t>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566038">
    <w:pPr>
      <w:pStyle w:val="33"/>
      <w:pBdr>
        <w:top w:val="none" w:color="auto" w:sz="0" w:space="1"/>
      </w:pBdr>
      <w:ind w:firstLine="360"/>
      <w:jc w:val="center"/>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56B2A3D">
                          <w:pPr>
                            <w:pStyle w:val="33"/>
                            <w:pBdr>
                              <w:top w:val="none" w:color="auto" w:sz="0" w:space="1"/>
                            </w:pBdr>
                            <w:jc w:val="center"/>
                          </w:pPr>
                          <w:r>
                            <w:t xml:space="preserve">— </w:t>
                          </w:r>
                          <w:r>
                            <w:fldChar w:fldCharType="begin"/>
                          </w:r>
                          <w:r>
                            <w:instrText xml:space="preserve"> PAGE  \* MERGEFORMAT </w:instrText>
                          </w:r>
                          <w:r>
                            <w:fldChar w:fldCharType="separate"/>
                          </w:r>
                          <w:r>
                            <w:t>38</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56B2A3D">
                    <w:pPr>
                      <w:pStyle w:val="33"/>
                      <w:pBdr>
                        <w:top w:val="none" w:color="auto" w:sz="0" w:space="1"/>
                      </w:pBdr>
                      <w:jc w:val="center"/>
                    </w:pPr>
                    <w:r>
                      <w:t xml:space="preserve">— </w:t>
                    </w:r>
                    <w:r>
                      <w:fldChar w:fldCharType="begin"/>
                    </w:r>
                    <w:r>
                      <w:instrText xml:space="preserve"> PAGE  \* MERGEFORMAT </w:instrText>
                    </w:r>
                    <w:r>
                      <w:fldChar w:fldCharType="separate"/>
                    </w:r>
                    <w:r>
                      <w:t>38</w:t>
                    </w:r>
                    <w:r>
                      <w:fldChar w:fldCharType="end"/>
                    </w:r>
                    <w:r>
                      <w:t xml:space="preserve"> —</w:t>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14391C">
    <w:pPr>
      <w:pStyle w:val="33"/>
      <w:pBdr>
        <w:top w:val="none" w:color="auto" w:sz="0" w:space="1"/>
      </w:pBdr>
      <w:ind w:firstLine="360"/>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CAF97F">
                          <w:pPr>
                            <w:pStyle w:val="33"/>
                            <w:ind w:firstLine="360"/>
                          </w:pPr>
                          <w:r>
                            <w:fldChar w:fldCharType="begin"/>
                          </w:r>
                          <w:r>
                            <w:instrText xml:space="preserve"> PAGE  \* MERGEFORMAT </w:instrText>
                          </w:r>
                          <w:r>
                            <w:fldChar w:fldCharType="separate"/>
                          </w:r>
                          <w:r>
                            <w:t>66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NiTWUt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k7eUKKZQsVPP76f&#10;fj6cfn0jOINArfUzxN1bRIbunenQNsO5x2Hk3VVOxS8YEfgh7/Eir+gC4fHSdDKd5nBx+IYN8LPH&#10;69b58F4YRaJRUIf6JVnZYeNDHzqExGzarBspUw2lJm1Br16/zdOFiwfgUiNHJNE/Nlqh23ZnZltT&#10;HkHMmb43vOXrBsk3zIc75tAMeDDGJdxiqaRBEnO2KKmN+/qv8xiPGsFLSYvmKqjGLFEiP2jUDoBh&#10;MNxgbAdD79WNQbeOMYaWJxMXXJCDWTmjvmCGljEHXExzZCpoGMyb0Dc4ZpCL5TIFodssCxt9b3mE&#10;juJ5u9wHCJh0jaL0Spy1Qr+lypxnIzb0n/sU9fg/WP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NNiTWUtAgAAVwQAAA4AAAAAAAAAAQAgAAAAHwEAAGRycy9lMm9Eb2MueG1sUEsFBgAAAAAG&#10;AAYAWQEAAL4FAAAAAA==&#10;">
              <v:fill on="f" focussize="0,0"/>
              <v:stroke on="f" weight="0.5pt"/>
              <v:imagedata o:title=""/>
              <o:lock v:ext="edit" aspectratio="f"/>
              <v:textbox inset="0mm,0mm,0mm,0mm" style="mso-fit-shape-to-text:t;">
                <w:txbxContent>
                  <w:p w14:paraId="3ACAF97F">
                    <w:pPr>
                      <w:pStyle w:val="33"/>
                      <w:ind w:firstLine="360"/>
                    </w:pPr>
                    <w:r>
                      <w:fldChar w:fldCharType="begin"/>
                    </w:r>
                    <w:r>
                      <w:instrText xml:space="preserve"> PAGE  \* MERGEFORMAT </w:instrText>
                    </w:r>
                    <w:r>
                      <w:fldChar w:fldCharType="separate"/>
                    </w:r>
                    <w:r>
                      <w:t>66</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20"/>
      </w:pPr>
      <w:r>
        <w:separator/>
      </w:r>
    </w:p>
  </w:footnote>
  <w:footnote w:type="continuationSeparator" w:id="1">
    <w:p>
      <w:pPr>
        <w:spacing w:line="24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947831">
    <w:pPr>
      <w:pStyle w:val="34"/>
      <w:pBdr>
        <w:bottom w:val="none" w:color="auto" w:sz="0" w:space="1"/>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7BC550">
    <w:pPr>
      <w:pStyle w:val="34"/>
      <w:ind w:firstLine="0" w:firstLineChars="0"/>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CE662B">
    <w:pPr>
      <w:pStyle w:val="34"/>
      <w:pBdr>
        <w:bottom w:val="none" w:color="auto" w:sz="0" w:space="1"/>
      </w:pBdr>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27F921">
    <w:pPr>
      <w:pStyle w:val="34"/>
      <w:pBdr>
        <w:bottom w:val="none" w:color="auto" w:sz="0" w:space="0"/>
      </w:pBdr>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0CEE26">
    <w:pPr>
      <w:pBdr>
        <w:bottom w:val="none" w:color="auto" w:sz="0" w:space="1"/>
      </w:pBdr>
      <w:tabs>
        <w:tab w:val="center" w:pos="4153"/>
        <w:tab w:val="right" w:pos="8306"/>
      </w:tabs>
      <w:snapToGrid w:val="0"/>
      <w:spacing w:before="100" w:beforeAutospacing="1" w:after="100" w:afterAutospacing="1" w:line="400" w:lineRule="exact"/>
      <w:ind w:firstLine="360" w:firstLineChars="200"/>
      <w:jc w:val="center"/>
      <w:rPr>
        <w:rFonts w:ascii="Calibri" w:hAnsi="Calibri" w:eastAsia="Calibri" w:cs="Times New Roman"/>
        <w:sz w:val="18"/>
        <w:szCs w:val="18"/>
        <w:lang w:eastAsia="en-US"/>
      </w:rPr>
    </w:pPr>
    <w:r>
      <w:rPr>
        <w:rFonts w:ascii="Calibri" w:hAnsi="Calibri" w:eastAsia="Calibri" w:cs="Times New Roman"/>
        <w:sz w:val="18"/>
        <w:szCs w:val="18"/>
        <w:lang w:eastAsia="en-US"/>
      </w:rPr>
      <w:pict>
        <v:shape id="PowerPlusWaterMarkObject28786" o:spid="_x0000_s1037" o:spt="136" type="#_x0000_t136" style="position:absolute;left:0pt;height:104.95pt;width:482.3pt;mso-position-horizontal:center;mso-position-horizontal-relative:margin;mso-position-vertical:center;mso-position-vertical-relative:margin;rotation:-2949120f;z-index:-251656192;mso-width-relative:page;mso-height-relative:page;" fillcolor="#C0C0C0" filled="t" stroked="f" coordsize="21600,21600">
          <v:path/>
          <v:fill on="t" opacity="32768f" focussize="0,0"/>
          <v:stroke on="f"/>
          <v:imagedata o:title=""/>
          <o:lock v:ext="edit" aspectratio="t"/>
          <v:textpath on="t" fitshape="t" fitpath="t" trim="t" xscale="f" string="徐圩港控集团" style="font-family:微软雅黑;font-size:36pt;v-text-align:center;"/>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730C55">
    <w:pPr>
      <w:pBdr>
        <w:bottom w:val="none" w:color="auto" w:sz="0" w:space="1"/>
      </w:pBdr>
      <w:tabs>
        <w:tab w:val="center" w:pos="4153"/>
        <w:tab w:val="right" w:pos="8306"/>
      </w:tabs>
      <w:snapToGrid w:val="0"/>
      <w:spacing w:before="100" w:beforeAutospacing="1" w:after="100" w:afterAutospacing="1" w:line="400" w:lineRule="exact"/>
      <w:ind w:firstLine="360" w:firstLineChars="200"/>
      <w:jc w:val="center"/>
      <w:rPr>
        <w:rFonts w:ascii="Calibri" w:hAnsi="Calibri" w:eastAsia="Calibri" w:cs="Times New Roman"/>
        <w:sz w:val="18"/>
        <w:szCs w:val="18"/>
        <w:lang w:eastAsia="en-US"/>
      </w:rPr>
    </w:pPr>
    <w:r>
      <w:rPr>
        <w:rFonts w:ascii="Calibri" w:hAnsi="Calibri" w:eastAsia="Calibri" w:cs="Times New Roman"/>
        <w:sz w:val="18"/>
        <w:szCs w:val="18"/>
        <w:lang w:eastAsia="en-US"/>
      </w:rPr>
      <w:pict>
        <v:shape id="_x0000_s1035" o:spid="_x0000_s1035" o:spt="136" type="#_x0000_t136" style="position:absolute;left:0pt;height:104.95pt;width:482.3pt;mso-position-horizontal:center;mso-position-horizontal-relative:margin;mso-position-vertical:center;mso-position-vertical-relative:margin;rotation:-2949120f;z-index:-251655168;mso-width-relative:page;mso-height-relative:page;" fillcolor="#C0C0C0" filled="t" stroked="f" coordsize="21600,21600">
          <v:path/>
          <v:fill on="t" opacity="32768f" focussize="0,0"/>
          <v:stroke on="f"/>
          <v:imagedata o:title=""/>
          <o:lock v:ext="edit" aspectratio="t"/>
          <v:textpath on="t" fitshape="t" fitpath="t" trim="t" xscale="f" string="徐圩港控集团" style="font-family:微软雅黑;font-size:36pt;v-text-align:center;"/>
        </v:shape>
      </w:pic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B57399">
    <w:pPr>
      <w:ind w:left="0" w:leftChars="0" w:firstLine="0" w:firstLineChars="0"/>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654B29">
    <w:pPr>
      <w:ind w:firstLine="0" w:firstLineChars="0"/>
    </w:pPr>
    <w:r>
      <w:rPr>
        <w:sz w:val="18"/>
      </w:rPr>
      <w:pict>
        <v:shape id="PowerPlusWaterMarkObject54278" o:spid="_x0000_s1034" o:spt="136" type="#_x0000_t136" style="position:absolute;left:0pt;height:104.95pt;width:482.3pt;mso-position-horizontal:center;mso-position-horizontal-relative:margin;mso-position-vertical:center;mso-position-vertical-relative:margin;rotation:-2949120f;z-index:-251653120;mso-width-relative:page;mso-height-relative:page;" fillcolor="#C0C0C0" filled="t" stroked="f" coordsize="21600,21600">
          <v:path/>
          <v:fill on="t" opacity="32768f" focussize="0,0"/>
          <v:stroke on="f"/>
          <v:imagedata o:title=""/>
          <o:lock v:ext="edit" aspectratio="t"/>
          <v:textpath on="t" fitshape="t" fitpath="t" trim="t" xscale="f" string="徐圩港控集团" style="font-family:微软雅黑;font-size:36pt;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03900F"/>
    <w:multiLevelType w:val="singleLevel"/>
    <w:tmpl w:val="9A03900F"/>
    <w:lvl w:ilvl="0" w:tentative="0">
      <w:start w:val="1"/>
      <w:numFmt w:val="chineseCounting"/>
      <w:suff w:val="nothing"/>
      <w:lvlText w:val="%1、"/>
      <w:lvlJc w:val="left"/>
      <w:rPr>
        <w:rFonts w:hint="eastAsia"/>
      </w:rPr>
    </w:lvl>
  </w:abstractNum>
  <w:abstractNum w:abstractNumId="1">
    <w:nsid w:val="B4C3DDC0"/>
    <w:multiLevelType w:val="singleLevel"/>
    <w:tmpl w:val="B4C3DDC0"/>
    <w:lvl w:ilvl="0" w:tentative="0">
      <w:start w:val="1"/>
      <w:numFmt w:val="decimal"/>
      <w:suff w:val="nothing"/>
      <w:lvlText w:val="(%1)"/>
      <w:lvlJc w:val="left"/>
      <w:pPr>
        <w:ind w:left="425" w:hanging="425"/>
      </w:pPr>
      <w:rPr>
        <w:rFonts w:hint="default"/>
        <w:highlight w:val="none"/>
      </w:rPr>
    </w:lvl>
  </w:abstractNum>
  <w:abstractNum w:abstractNumId="2">
    <w:nsid w:val="3254E95F"/>
    <w:multiLevelType w:val="singleLevel"/>
    <w:tmpl w:val="3254E95F"/>
    <w:lvl w:ilvl="0" w:tentative="0">
      <w:start w:val="1"/>
      <w:numFmt w:val="bullet"/>
      <w:pStyle w:val="17"/>
      <w:lvlText w:val=""/>
      <w:lvlJc w:val="left"/>
      <w:pPr>
        <w:tabs>
          <w:tab w:val="left" w:pos="360"/>
        </w:tabs>
        <w:ind w:left="360" w:hanging="360"/>
      </w:pPr>
      <w:rPr>
        <w:rFonts w:hint="default" w:ascii="Wingdings" w:hAnsi="Wingdings"/>
      </w:rPr>
    </w:lvl>
  </w:abstractNum>
  <w:abstractNum w:abstractNumId="3">
    <w:nsid w:val="7A7404F7"/>
    <w:multiLevelType w:val="multilevel"/>
    <w:tmpl w:val="7A7404F7"/>
    <w:lvl w:ilvl="0" w:tentative="0">
      <w:start w:val="5"/>
      <w:numFmt w:val="japaneseCounting"/>
      <w:pStyle w:val="22"/>
      <w:lvlText w:val="%1、"/>
      <w:lvlJc w:val="left"/>
      <w:pPr>
        <w:ind w:left="690" w:hanging="69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TrueTypeFonts/>
  <w:saveSubsetFonts/>
  <w:bordersDoNotSurroundHeader w:val="0"/>
  <w:bordersDoNotSurroundFooter w:val="0"/>
  <w:hideSpellingErrors/>
  <w:trackRevisions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gyZTBhYTRhZTBlMjY0OGIxZTY4NjVhYjM1MjA0YmYifQ=="/>
  </w:docVars>
  <w:rsids>
    <w:rsidRoot w:val="00172A27"/>
    <w:rsid w:val="00002CD3"/>
    <w:rsid w:val="00006462"/>
    <w:rsid w:val="00006D68"/>
    <w:rsid w:val="00007766"/>
    <w:rsid w:val="00014A60"/>
    <w:rsid w:val="00014DC4"/>
    <w:rsid w:val="00014DFD"/>
    <w:rsid w:val="0002247A"/>
    <w:rsid w:val="00025580"/>
    <w:rsid w:val="000260CC"/>
    <w:rsid w:val="000278C3"/>
    <w:rsid w:val="00027B7C"/>
    <w:rsid w:val="00031AC4"/>
    <w:rsid w:val="00041D92"/>
    <w:rsid w:val="00042A94"/>
    <w:rsid w:val="00043ED2"/>
    <w:rsid w:val="000461E2"/>
    <w:rsid w:val="00047E4F"/>
    <w:rsid w:val="00047F74"/>
    <w:rsid w:val="00051006"/>
    <w:rsid w:val="00051BEF"/>
    <w:rsid w:val="00052819"/>
    <w:rsid w:val="000541D1"/>
    <w:rsid w:val="000551B4"/>
    <w:rsid w:val="000557D1"/>
    <w:rsid w:val="00056ED8"/>
    <w:rsid w:val="00070788"/>
    <w:rsid w:val="000727FF"/>
    <w:rsid w:val="00073D95"/>
    <w:rsid w:val="00074AD8"/>
    <w:rsid w:val="00074C7D"/>
    <w:rsid w:val="00076BE2"/>
    <w:rsid w:val="0007710F"/>
    <w:rsid w:val="000803B0"/>
    <w:rsid w:val="00083600"/>
    <w:rsid w:val="0008391E"/>
    <w:rsid w:val="00087A89"/>
    <w:rsid w:val="0009044C"/>
    <w:rsid w:val="000935DF"/>
    <w:rsid w:val="00093FB2"/>
    <w:rsid w:val="000951CF"/>
    <w:rsid w:val="000A056F"/>
    <w:rsid w:val="000A5067"/>
    <w:rsid w:val="000A7F6D"/>
    <w:rsid w:val="000B0D1B"/>
    <w:rsid w:val="000B3A5C"/>
    <w:rsid w:val="000C0326"/>
    <w:rsid w:val="000C1084"/>
    <w:rsid w:val="000C5D40"/>
    <w:rsid w:val="000C75C3"/>
    <w:rsid w:val="000D16A8"/>
    <w:rsid w:val="000D262D"/>
    <w:rsid w:val="000D2B20"/>
    <w:rsid w:val="000D2FC8"/>
    <w:rsid w:val="000E0A40"/>
    <w:rsid w:val="000E242C"/>
    <w:rsid w:val="000E5E15"/>
    <w:rsid w:val="000E7713"/>
    <w:rsid w:val="000F12BB"/>
    <w:rsid w:val="000F1BB0"/>
    <w:rsid w:val="000F1DC3"/>
    <w:rsid w:val="000F23DE"/>
    <w:rsid w:val="000F2EFC"/>
    <w:rsid w:val="000F3270"/>
    <w:rsid w:val="000F49AD"/>
    <w:rsid w:val="000F551D"/>
    <w:rsid w:val="000F5574"/>
    <w:rsid w:val="001001BA"/>
    <w:rsid w:val="00103BB6"/>
    <w:rsid w:val="0011406C"/>
    <w:rsid w:val="00114443"/>
    <w:rsid w:val="0011684E"/>
    <w:rsid w:val="00117456"/>
    <w:rsid w:val="00117FCF"/>
    <w:rsid w:val="001244E0"/>
    <w:rsid w:val="001246A7"/>
    <w:rsid w:val="001269C0"/>
    <w:rsid w:val="00126C8F"/>
    <w:rsid w:val="001304D0"/>
    <w:rsid w:val="00131974"/>
    <w:rsid w:val="00132132"/>
    <w:rsid w:val="00132E3C"/>
    <w:rsid w:val="00133594"/>
    <w:rsid w:val="001352DC"/>
    <w:rsid w:val="00136908"/>
    <w:rsid w:val="0014003E"/>
    <w:rsid w:val="00144530"/>
    <w:rsid w:val="00144828"/>
    <w:rsid w:val="00151FE8"/>
    <w:rsid w:val="00152A8E"/>
    <w:rsid w:val="0015332C"/>
    <w:rsid w:val="00153BCD"/>
    <w:rsid w:val="001543FF"/>
    <w:rsid w:val="00163014"/>
    <w:rsid w:val="00163B44"/>
    <w:rsid w:val="00163C39"/>
    <w:rsid w:val="0016461B"/>
    <w:rsid w:val="0016676D"/>
    <w:rsid w:val="00166F8A"/>
    <w:rsid w:val="00170FFB"/>
    <w:rsid w:val="0017101F"/>
    <w:rsid w:val="00172A27"/>
    <w:rsid w:val="00172A97"/>
    <w:rsid w:val="00175417"/>
    <w:rsid w:val="0018058D"/>
    <w:rsid w:val="001823B2"/>
    <w:rsid w:val="00182982"/>
    <w:rsid w:val="00192C74"/>
    <w:rsid w:val="00193950"/>
    <w:rsid w:val="001957F8"/>
    <w:rsid w:val="00197539"/>
    <w:rsid w:val="001A1116"/>
    <w:rsid w:val="001A2618"/>
    <w:rsid w:val="001A28CB"/>
    <w:rsid w:val="001A4493"/>
    <w:rsid w:val="001A61BB"/>
    <w:rsid w:val="001A67DA"/>
    <w:rsid w:val="001A6D0D"/>
    <w:rsid w:val="001A7B3E"/>
    <w:rsid w:val="001B117E"/>
    <w:rsid w:val="001B1746"/>
    <w:rsid w:val="001B4B40"/>
    <w:rsid w:val="001B5793"/>
    <w:rsid w:val="001B63C0"/>
    <w:rsid w:val="001C1C98"/>
    <w:rsid w:val="001C31E3"/>
    <w:rsid w:val="001C5887"/>
    <w:rsid w:val="001C6ABE"/>
    <w:rsid w:val="001C6CB8"/>
    <w:rsid w:val="001D1468"/>
    <w:rsid w:val="001D1DF6"/>
    <w:rsid w:val="001D6FB4"/>
    <w:rsid w:val="001D7DB3"/>
    <w:rsid w:val="001E0B87"/>
    <w:rsid w:val="001E1517"/>
    <w:rsid w:val="001E289B"/>
    <w:rsid w:val="001E2F72"/>
    <w:rsid w:val="001E4A13"/>
    <w:rsid w:val="001E6312"/>
    <w:rsid w:val="001E6F22"/>
    <w:rsid w:val="001E7AA8"/>
    <w:rsid w:val="001F35F2"/>
    <w:rsid w:val="001F5DFC"/>
    <w:rsid w:val="001F7042"/>
    <w:rsid w:val="0020080E"/>
    <w:rsid w:val="00204075"/>
    <w:rsid w:val="0020478E"/>
    <w:rsid w:val="00204CC3"/>
    <w:rsid w:val="00206A5D"/>
    <w:rsid w:val="00206DE5"/>
    <w:rsid w:val="00207366"/>
    <w:rsid w:val="00207802"/>
    <w:rsid w:val="002119A0"/>
    <w:rsid w:val="002150E2"/>
    <w:rsid w:val="00221DBB"/>
    <w:rsid w:val="00223BB5"/>
    <w:rsid w:val="00223FBC"/>
    <w:rsid w:val="00225264"/>
    <w:rsid w:val="00225827"/>
    <w:rsid w:val="002277BD"/>
    <w:rsid w:val="00231698"/>
    <w:rsid w:val="00233558"/>
    <w:rsid w:val="0023618C"/>
    <w:rsid w:val="00236EE5"/>
    <w:rsid w:val="00240015"/>
    <w:rsid w:val="0024084A"/>
    <w:rsid w:val="00243994"/>
    <w:rsid w:val="00243A63"/>
    <w:rsid w:val="00244E9B"/>
    <w:rsid w:val="002530DB"/>
    <w:rsid w:val="0025334B"/>
    <w:rsid w:val="00253C61"/>
    <w:rsid w:val="00254137"/>
    <w:rsid w:val="00254166"/>
    <w:rsid w:val="002621A4"/>
    <w:rsid w:val="00263E5D"/>
    <w:rsid w:val="00264F2E"/>
    <w:rsid w:val="002657A4"/>
    <w:rsid w:val="002658FD"/>
    <w:rsid w:val="00266A46"/>
    <w:rsid w:val="002679A8"/>
    <w:rsid w:val="00270E94"/>
    <w:rsid w:val="00276B89"/>
    <w:rsid w:val="00277512"/>
    <w:rsid w:val="00280BBA"/>
    <w:rsid w:val="0028146F"/>
    <w:rsid w:val="00281A95"/>
    <w:rsid w:val="00282B4E"/>
    <w:rsid w:val="00285860"/>
    <w:rsid w:val="002866D9"/>
    <w:rsid w:val="00291395"/>
    <w:rsid w:val="00293EA1"/>
    <w:rsid w:val="0029586B"/>
    <w:rsid w:val="002A0992"/>
    <w:rsid w:val="002A1939"/>
    <w:rsid w:val="002A1C3B"/>
    <w:rsid w:val="002A2FD3"/>
    <w:rsid w:val="002A2FDD"/>
    <w:rsid w:val="002A529C"/>
    <w:rsid w:val="002A5DEB"/>
    <w:rsid w:val="002A636A"/>
    <w:rsid w:val="002A74A9"/>
    <w:rsid w:val="002B1E60"/>
    <w:rsid w:val="002B404F"/>
    <w:rsid w:val="002B6D26"/>
    <w:rsid w:val="002B6DA2"/>
    <w:rsid w:val="002B6EE6"/>
    <w:rsid w:val="002B7FA3"/>
    <w:rsid w:val="002C1DDF"/>
    <w:rsid w:val="002C2104"/>
    <w:rsid w:val="002C2790"/>
    <w:rsid w:val="002C44F1"/>
    <w:rsid w:val="002C52E8"/>
    <w:rsid w:val="002D0602"/>
    <w:rsid w:val="002D0FB0"/>
    <w:rsid w:val="002D45CF"/>
    <w:rsid w:val="002D769D"/>
    <w:rsid w:val="002E02A2"/>
    <w:rsid w:val="002E0E66"/>
    <w:rsid w:val="002E2CF6"/>
    <w:rsid w:val="002E3F29"/>
    <w:rsid w:val="002E41F2"/>
    <w:rsid w:val="002E7945"/>
    <w:rsid w:val="002F00BD"/>
    <w:rsid w:val="002F066A"/>
    <w:rsid w:val="002F32CC"/>
    <w:rsid w:val="002F54BA"/>
    <w:rsid w:val="002F6BB2"/>
    <w:rsid w:val="002F71A7"/>
    <w:rsid w:val="00300389"/>
    <w:rsid w:val="003035EF"/>
    <w:rsid w:val="00305943"/>
    <w:rsid w:val="00310173"/>
    <w:rsid w:val="00310B37"/>
    <w:rsid w:val="00310BFC"/>
    <w:rsid w:val="00312A45"/>
    <w:rsid w:val="00313CBE"/>
    <w:rsid w:val="0031470B"/>
    <w:rsid w:val="00315BCC"/>
    <w:rsid w:val="003225D8"/>
    <w:rsid w:val="00324815"/>
    <w:rsid w:val="003308F2"/>
    <w:rsid w:val="00331F38"/>
    <w:rsid w:val="00332D8E"/>
    <w:rsid w:val="00333365"/>
    <w:rsid w:val="00335CB0"/>
    <w:rsid w:val="00336D49"/>
    <w:rsid w:val="003377B5"/>
    <w:rsid w:val="00340054"/>
    <w:rsid w:val="00342053"/>
    <w:rsid w:val="003422B7"/>
    <w:rsid w:val="003449C1"/>
    <w:rsid w:val="00344D07"/>
    <w:rsid w:val="003459E5"/>
    <w:rsid w:val="00347AE3"/>
    <w:rsid w:val="00351B0D"/>
    <w:rsid w:val="0035447D"/>
    <w:rsid w:val="00354D36"/>
    <w:rsid w:val="003577A2"/>
    <w:rsid w:val="00360113"/>
    <w:rsid w:val="0036185D"/>
    <w:rsid w:val="00363CA5"/>
    <w:rsid w:val="00364237"/>
    <w:rsid w:val="00364B3F"/>
    <w:rsid w:val="003661A4"/>
    <w:rsid w:val="00366DF0"/>
    <w:rsid w:val="00370D12"/>
    <w:rsid w:val="00374939"/>
    <w:rsid w:val="00377DF0"/>
    <w:rsid w:val="00381930"/>
    <w:rsid w:val="00383B03"/>
    <w:rsid w:val="00386AF9"/>
    <w:rsid w:val="003920E9"/>
    <w:rsid w:val="00393A41"/>
    <w:rsid w:val="00394CF6"/>
    <w:rsid w:val="003958E6"/>
    <w:rsid w:val="00395DE9"/>
    <w:rsid w:val="0039679C"/>
    <w:rsid w:val="003A0326"/>
    <w:rsid w:val="003A0D52"/>
    <w:rsid w:val="003A1484"/>
    <w:rsid w:val="003A2843"/>
    <w:rsid w:val="003A2D60"/>
    <w:rsid w:val="003A553C"/>
    <w:rsid w:val="003A5DC0"/>
    <w:rsid w:val="003A729E"/>
    <w:rsid w:val="003A7E47"/>
    <w:rsid w:val="003B0AC5"/>
    <w:rsid w:val="003B129D"/>
    <w:rsid w:val="003B398C"/>
    <w:rsid w:val="003B49BC"/>
    <w:rsid w:val="003B4C7E"/>
    <w:rsid w:val="003B5B3D"/>
    <w:rsid w:val="003C2E8D"/>
    <w:rsid w:val="003C32AB"/>
    <w:rsid w:val="003C5CAC"/>
    <w:rsid w:val="003C7191"/>
    <w:rsid w:val="003D0330"/>
    <w:rsid w:val="003D1C36"/>
    <w:rsid w:val="003D2128"/>
    <w:rsid w:val="003D60EB"/>
    <w:rsid w:val="003E4A39"/>
    <w:rsid w:val="003E4C02"/>
    <w:rsid w:val="003F1E76"/>
    <w:rsid w:val="003F5B16"/>
    <w:rsid w:val="003F7521"/>
    <w:rsid w:val="003F7778"/>
    <w:rsid w:val="004009AC"/>
    <w:rsid w:val="00403793"/>
    <w:rsid w:val="00403BED"/>
    <w:rsid w:val="00404B1C"/>
    <w:rsid w:val="00407BAE"/>
    <w:rsid w:val="00410DA5"/>
    <w:rsid w:val="00411357"/>
    <w:rsid w:val="0041225F"/>
    <w:rsid w:val="00413564"/>
    <w:rsid w:val="00415EDB"/>
    <w:rsid w:val="004167BD"/>
    <w:rsid w:val="00417DB9"/>
    <w:rsid w:val="00421642"/>
    <w:rsid w:val="004235F3"/>
    <w:rsid w:val="00426FF0"/>
    <w:rsid w:val="00430C64"/>
    <w:rsid w:val="0043181A"/>
    <w:rsid w:val="00431A67"/>
    <w:rsid w:val="00431F1A"/>
    <w:rsid w:val="0043539F"/>
    <w:rsid w:val="0044072B"/>
    <w:rsid w:val="004409FA"/>
    <w:rsid w:val="004419D3"/>
    <w:rsid w:val="004435A2"/>
    <w:rsid w:val="00443641"/>
    <w:rsid w:val="00443F79"/>
    <w:rsid w:val="00444A2B"/>
    <w:rsid w:val="00451C6E"/>
    <w:rsid w:val="00452850"/>
    <w:rsid w:val="004536A7"/>
    <w:rsid w:val="0045574B"/>
    <w:rsid w:val="0045592C"/>
    <w:rsid w:val="00461329"/>
    <w:rsid w:val="004648FC"/>
    <w:rsid w:val="00464EC6"/>
    <w:rsid w:val="00464ED5"/>
    <w:rsid w:val="004710E6"/>
    <w:rsid w:val="00471851"/>
    <w:rsid w:val="00473F00"/>
    <w:rsid w:val="004751F8"/>
    <w:rsid w:val="004760B7"/>
    <w:rsid w:val="00482A0D"/>
    <w:rsid w:val="0048461D"/>
    <w:rsid w:val="004858EA"/>
    <w:rsid w:val="00487CDE"/>
    <w:rsid w:val="0049180C"/>
    <w:rsid w:val="00492AD4"/>
    <w:rsid w:val="00492F46"/>
    <w:rsid w:val="004946E0"/>
    <w:rsid w:val="004950E8"/>
    <w:rsid w:val="004957D7"/>
    <w:rsid w:val="004A0904"/>
    <w:rsid w:val="004A398C"/>
    <w:rsid w:val="004A60DF"/>
    <w:rsid w:val="004A6332"/>
    <w:rsid w:val="004B0C03"/>
    <w:rsid w:val="004B37C9"/>
    <w:rsid w:val="004B6066"/>
    <w:rsid w:val="004B70A1"/>
    <w:rsid w:val="004B713E"/>
    <w:rsid w:val="004C1F22"/>
    <w:rsid w:val="004C3B18"/>
    <w:rsid w:val="004C47E7"/>
    <w:rsid w:val="004C7CE2"/>
    <w:rsid w:val="004D0F52"/>
    <w:rsid w:val="004D387F"/>
    <w:rsid w:val="004D4097"/>
    <w:rsid w:val="004D7110"/>
    <w:rsid w:val="004D752E"/>
    <w:rsid w:val="004E0615"/>
    <w:rsid w:val="004E297F"/>
    <w:rsid w:val="004F001D"/>
    <w:rsid w:val="004F08E2"/>
    <w:rsid w:val="004F4725"/>
    <w:rsid w:val="004F50B7"/>
    <w:rsid w:val="004F5949"/>
    <w:rsid w:val="004F5EE5"/>
    <w:rsid w:val="004F7911"/>
    <w:rsid w:val="0050095F"/>
    <w:rsid w:val="00501CC7"/>
    <w:rsid w:val="005027D9"/>
    <w:rsid w:val="00503D78"/>
    <w:rsid w:val="005051E5"/>
    <w:rsid w:val="00507F61"/>
    <w:rsid w:val="0051028F"/>
    <w:rsid w:val="005115FB"/>
    <w:rsid w:val="00512C50"/>
    <w:rsid w:val="00514ACA"/>
    <w:rsid w:val="00515B86"/>
    <w:rsid w:val="0051653D"/>
    <w:rsid w:val="0052287D"/>
    <w:rsid w:val="005231B6"/>
    <w:rsid w:val="005239B8"/>
    <w:rsid w:val="00525325"/>
    <w:rsid w:val="00526EEC"/>
    <w:rsid w:val="00531DFE"/>
    <w:rsid w:val="00533FDC"/>
    <w:rsid w:val="00534A5C"/>
    <w:rsid w:val="005411E8"/>
    <w:rsid w:val="00542681"/>
    <w:rsid w:val="00543E23"/>
    <w:rsid w:val="005453CE"/>
    <w:rsid w:val="005501AC"/>
    <w:rsid w:val="005505EC"/>
    <w:rsid w:val="005516B0"/>
    <w:rsid w:val="0055229A"/>
    <w:rsid w:val="00552618"/>
    <w:rsid w:val="00552D98"/>
    <w:rsid w:val="00553F8D"/>
    <w:rsid w:val="0055542B"/>
    <w:rsid w:val="00555639"/>
    <w:rsid w:val="00557191"/>
    <w:rsid w:val="0056558D"/>
    <w:rsid w:val="005656C2"/>
    <w:rsid w:val="00571DFC"/>
    <w:rsid w:val="00575A97"/>
    <w:rsid w:val="00575F9A"/>
    <w:rsid w:val="00576C07"/>
    <w:rsid w:val="005811BD"/>
    <w:rsid w:val="005811D7"/>
    <w:rsid w:val="00581A9B"/>
    <w:rsid w:val="00581AAD"/>
    <w:rsid w:val="00583D91"/>
    <w:rsid w:val="00584DDC"/>
    <w:rsid w:val="0058655C"/>
    <w:rsid w:val="005866D5"/>
    <w:rsid w:val="0059507D"/>
    <w:rsid w:val="00595DD2"/>
    <w:rsid w:val="00596E56"/>
    <w:rsid w:val="005A16DB"/>
    <w:rsid w:val="005A2640"/>
    <w:rsid w:val="005A32FA"/>
    <w:rsid w:val="005A4CEC"/>
    <w:rsid w:val="005A68D5"/>
    <w:rsid w:val="005A7180"/>
    <w:rsid w:val="005B358E"/>
    <w:rsid w:val="005B4572"/>
    <w:rsid w:val="005B494F"/>
    <w:rsid w:val="005B4E05"/>
    <w:rsid w:val="005B4E0C"/>
    <w:rsid w:val="005B65B2"/>
    <w:rsid w:val="005B7D13"/>
    <w:rsid w:val="005B7E93"/>
    <w:rsid w:val="005C2A3F"/>
    <w:rsid w:val="005C470F"/>
    <w:rsid w:val="005C4799"/>
    <w:rsid w:val="005C4D29"/>
    <w:rsid w:val="005D2A0E"/>
    <w:rsid w:val="005D2C0E"/>
    <w:rsid w:val="005D4121"/>
    <w:rsid w:val="005D49D2"/>
    <w:rsid w:val="005D49E7"/>
    <w:rsid w:val="005D5539"/>
    <w:rsid w:val="005D5ADD"/>
    <w:rsid w:val="005D5B25"/>
    <w:rsid w:val="005D6A68"/>
    <w:rsid w:val="005E1CAF"/>
    <w:rsid w:val="005E4EDE"/>
    <w:rsid w:val="005E5168"/>
    <w:rsid w:val="005E793D"/>
    <w:rsid w:val="005F037B"/>
    <w:rsid w:val="005F1B63"/>
    <w:rsid w:val="005F28DC"/>
    <w:rsid w:val="005F3254"/>
    <w:rsid w:val="005F52EF"/>
    <w:rsid w:val="005F53D9"/>
    <w:rsid w:val="005F5D47"/>
    <w:rsid w:val="005F66B3"/>
    <w:rsid w:val="005F766F"/>
    <w:rsid w:val="005F7A96"/>
    <w:rsid w:val="00600254"/>
    <w:rsid w:val="00601D5A"/>
    <w:rsid w:val="00605EB1"/>
    <w:rsid w:val="00610874"/>
    <w:rsid w:val="00612896"/>
    <w:rsid w:val="00613CA4"/>
    <w:rsid w:val="0062060A"/>
    <w:rsid w:val="00623E71"/>
    <w:rsid w:val="006270D6"/>
    <w:rsid w:val="00627439"/>
    <w:rsid w:val="00635E23"/>
    <w:rsid w:val="00636F3D"/>
    <w:rsid w:val="00637503"/>
    <w:rsid w:val="006409FD"/>
    <w:rsid w:val="00642156"/>
    <w:rsid w:val="0064264E"/>
    <w:rsid w:val="006434D2"/>
    <w:rsid w:val="00643659"/>
    <w:rsid w:val="006442B5"/>
    <w:rsid w:val="0064498F"/>
    <w:rsid w:val="00647BB3"/>
    <w:rsid w:val="006507A0"/>
    <w:rsid w:val="006522A4"/>
    <w:rsid w:val="006522E5"/>
    <w:rsid w:val="00654855"/>
    <w:rsid w:val="00665E7C"/>
    <w:rsid w:val="00667ACA"/>
    <w:rsid w:val="0067112F"/>
    <w:rsid w:val="006733EF"/>
    <w:rsid w:val="00675AA9"/>
    <w:rsid w:val="00675FFD"/>
    <w:rsid w:val="00681408"/>
    <w:rsid w:val="006818A0"/>
    <w:rsid w:val="00681AD3"/>
    <w:rsid w:val="00681EC1"/>
    <w:rsid w:val="00682E5B"/>
    <w:rsid w:val="00683279"/>
    <w:rsid w:val="00684A18"/>
    <w:rsid w:val="006856AE"/>
    <w:rsid w:val="006869A6"/>
    <w:rsid w:val="00687871"/>
    <w:rsid w:val="00695414"/>
    <w:rsid w:val="006A303E"/>
    <w:rsid w:val="006A560E"/>
    <w:rsid w:val="006A6044"/>
    <w:rsid w:val="006A6D92"/>
    <w:rsid w:val="006B0440"/>
    <w:rsid w:val="006B0529"/>
    <w:rsid w:val="006B2E8C"/>
    <w:rsid w:val="006B3925"/>
    <w:rsid w:val="006B3D41"/>
    <w:rsid w:val="006B5C28"/>
    <w:rsid w:val="006B6262"/>
    <w:rsid w:val="006B7E44"/>
    <w:rsid w:val="006C58D6"/>
    <w:rsid w:val="006C68DA"/>
    <w:rsid w:val="006C70DA"/>
    <w:rsid w:val="006C718C"/>
    <w:rsid w:val="006D021F"/>
    <w:rsid w:val="006D0551"/>
    <w:rsid w:val="006D0A74"/>
    <w:rsid w:val="006D2C2C"/>
    <w:rsid w:val="006D4612"/>
    <w:rsid w:val="006D4ED8"/>
    <w:rsid w:val="006D5F94"/>
    <w:rsid w:val="006D6CC7"/>
    <w:rsid w:val="006D6F09"/>
    <w:rsid w:val="006E2CBA"/>
    <w:rsid w:val="006E629A"/>
    <w:rsid w:val="006E65EC"/>
    <w:rsid w:val="006E6EB0"/>
    <w:rsid w:val="006F11D9"/>
    <w:rsid w:val="00707268"/>
    <w:rsid w:val="00707BA0"/>
    <w:rsid w:val="00710F2F"/>
    <w:rsid w:val="007113B0"/>
    <w:rsid w:val="00712587"/>
    <w:rsid w:val="0071312A"/>
    <w:rsid w:val="00713E1E"/>
    <w:rsid w:val="0071757D"/>
    <w:rsid w:val="0072110E"/>
    <w:rsid w:val="0072272C"/>
    <w:rsid w:val="0072413F"/>
    <w:rsid w:val="00725382"/>
    <w:rsid w:val="00725A47"/>
    <w:rsid w:val="0073176C"/>
    <w:rsid w:val="00732CAC"/>
    <w:rsid w:val="00733C04"/>
    <w:rsid w:val="007352AB"/>
    <w:rsid w:val="00735F73"/>
    <w:rsid w:val="00736D64"/>
    <w:rsid w:val="00737175"/>
    <w:rsid w:val="00747CED"/>
    <w:rsid w:val="00750198"/>
    <w:rsid w:val="00752FF7"/>
    <w:rsid w:val="00754789"/>
    <w:rsid w:val="00755345"/>
    <w:rsid w:val="00757802"/>
    <w:rsid w:val="007601D6"/>
    <w:rsid w:val="00760D70"/>
    <w:rsid w:val="00764188"/>
    <w:rsid w:val="00767640"/>
    <w:rsid w:val="0077605C"/>
    <w:rsid w:val="00777FBF"/>
    <w:rsid w:val="00783B1E"/>
    <w:rsid w:val="00784A8E"/>
    <w:rsid w:val="00785921"/>
    <w:rsid w:val="00787434"/>
    <w:rsid w:val="00787B6B"/>
    <w:rsid w:val="00790D48"/>
    <w:rsid w:val="00790EDD"/>
    <w:rsid w:val="007912EE"/>
    <w:rsid w:val="00791D7C"/>
    <w:rsid w:val="00793C22"/>
    <w:rsid w:val="0079457E"/>
    <w:rsid w:val="00796AC3"/>
    <w:rsid w:val="00796D43"/>
    <w:rsid w:val="007A0E41"/>
    <w:rsid w:val="007A0E97"/>
    <w:rsid w:val="007A2AA1"/>
    <w:rsid w:val="007A2FFD"/>
    <w:rsid w:val="007A4159"/>
    <w:rsid w:val="007A64E0"/>
    <w:rsid w:val="007B4EAF"/>
    <w:rsid w:val="007B532B"/>
    <w:rsid w:val="007B554E"/>
    <w:rsid w:val="007B6757"/>
    <w:rsid w:val="007B7E68"/>
    <w:rsid w:val="007C296C"/>
    <w:rsid w:val="007C4D34"/>
    <w:rsid w:val="007C531B"/>
    <w:rsid w:val="007C54B5"/>
    <w:rsid w:val="007C568F"/>
    <w:rsid w:val="007C5E20"/>
    <w:rsid w:val="007C5E9E"/>
    <w:rsid w:val="007C7741"/>
    <w:rsid w:val="007D1640"/>
    <w:rsid w:val="007D1A45"/>
    <w:rsid w:val="007D2FA1"/>
    <w:rsid w:val="007D4EE3"/>
    <w:rsid w:val="007D69E0"/>
    <w:rsid w:val="007D7BDD"/>
    <w:rsid w:val="007E0CD6"/>
    <w:rsid w:val="007E1958"/>
    <w:rsid w:val="007E32C3"/>
    <w:rsid w:val="007E73B3"/>
    <w:rsid w:val="007F02AE"/>
    <w:rsid w:val="007F033D"/>
    <w:rsid w:val="007F1DA9"/>
    <w:rsid w:val="007F44F1"/>
    <w:rsid w:val="007F4C12"/>
    <w:rsid w:val="007F58A5"/>
    <w:rsid w:val="007F6285"/>
    <w:rsid w:val="007F6312"/>
    <w:rsid w:val="007F69B9"/>
    <w:rsid w:val="007F759F"/>
    <w:rsid w:val="00807761"/>
    <w:rsid w:val="00810248"/>
    <w:rsid w:val="008104A5"/>
    <w:rsid w:val="0081124B"/>
    <w:rsid w:val="0081397F"/>
    <w:rsid w:val="00813A20"/>
    <w:rsid w:val="00814528"/>
    <w:rsid w:val="00814B17"/>
    <w:rsid w:val="008177CB"/>
    <w:rsid w:val="0082250B"/>
    <w:rsid w:val="008227DC"/>
    <w:rsid w:val="00822FDE"/>
    <w:rsid w:val="00823A72"/>
    <w:rsid w:val="0082706F"/>
    <w:rsid w:val="0082775C"/>
    <w:rsid w:val="00827A61"/>
    <w:rsid w:val="00827C30"/>
    <w:rsid w:val="00832AAA"/>
    <w:rsid w:val="00832EE3"/>
    <w:rsid w:val="0083715D"/>
    <w:rsid w:val="008405AE"/>
    <w:rsid w:val="00841804"/>
    <w:rsid w:val="0084279B"/>
    <w:rsid w:val="00843859"/>
    <w:rsid w:val="008458F2"/>
    <w:rsid w:val="008467FA"/>
    <w:rsid w:val="008475A5"/>
    <w:rsid w:val="00847A01"/>
    <w:rsid w:val="00847A6E"/>
    <w:rsid w:val="00856413"/>
    <w:rsid w:val="008577C9"/>
    <w:rsid w:val="00861993"/>
    <w:rsid w:val="00870C8D"/>
    <w:rsid w:val="00872421"/>
    <w:rsid w:val="00872EA0"/>
    <w:rsid w:val="0087425A"/>
    <w:rsid w:val="00881D37"/>
    <w:rsid w:val="008830D2"/>
    <w:rsid w:val="00884EBE"/>
    <w:rsid w:val="00885443"/>
    <w:rsid w:val="008856BD"/>
    <w:rsid w:val="00885CB7"/>
    <w:rsid w:val="00885E9A"/>
    <w:rsid w:val="00886D30"/>
    <w:rsid w:val="00891DDA"/>
    <w:rsid w:val="00892925"/>
    <w:rsid w:val="008929D7"/>
    <w:rsid w:val="0089340E"/>
    <w:rsid w:val="0089405B"/>
    <w:rsid w:val="00895A03"/>
    <w:rsid w:val="00895F74"/>
    <w:rsid w:val="008960A6"/>
    <w:rsid w:val="00897D72"/>
    <w:rsid w:val="008A0D30"/>
    <w:rsid w:val="008A5E8D"/>
    <w:rsid w:val="008A695B"/>
    <w:rsid w:val="008A7FC3"/>
    <w:rsid w:val="008B5B78"/>
    <w:rsid w:val="008B6085"/>
    <w:rsid w:val="008B72E4"/>
    <w:rsid w:val="008B73AB"/>
    <w:rsid w:val="008B770C"/>
    <w:rsid w:val="008C078F"/>
    <w:rsid w:val="008C0BA8"/>
    <w:rsid w:val="008C20F6"/>
    <w:rsid w:val="008C3B90"/>
    <w:rsid w:val="008C7677"/>
    <w:rsid w:val="008D514C"/>
    <w:rsid w:val="008D53E1"/>
    <w:rsid w:val="008D668D"/>
    <w:rsid w:val="008D6A37"/>
    <w:rsid w:val="008D7F2B"/>
    <w:rsid w:val="008E0AFB"/>
    <w:rsid w:val="008E1FA1"/>
    <w:rsid w:val="008E2F24"/>
    <w:rsid w:val="008E34C8"/>
    <w:rsid w:val="008E3F8C"/>
    <w:rsid w:val="008E49A4"/>
    <w:rsid w:val="008E7525"/>
    <w:rsid w:val="008F2C49"/>
    <w:rsid w:val="008F542D"/>
    <w:rsid w:val="008F78C3"/>
    <w:rsid w:val="008F7CF6"/>
    <w:rsid w:val="00903BF8"/>
    <w:rsid w:val="009060FB"/>
    <w:rsid w:val="009074E9"/>
    <w:rsid w:val="00910D36"/>
    <w:rsid w:val="00912778"/>
    <w:rsid w:val="009129D4"/>
    <w:rsid w:val="00913005"/>
    <w:rsid w:val="009138E8"/>
    <w:rsid w:val="009150D0"/>
    <w:rsid w:val="00915C4A"/>
    <w:rsid w:val="009162EF"/>
    <w:rsid w:val="00916EB8"/>
    <w:rsid w:val="009205DD"/>
    <w:rsid w:val="009230DE"/>
    <w:rsid w:val="009233F7"/>
    <w:rsid w:val="009236DC"/>
    <w:rsid w:val="00924B3E"/>
    <w:rsid w:val="009256E7"/>
    <w:rsid w:val="009260A2"/>
    <w:rsid w:val="00926610"/>
    <w:rsid w:val="00927559"/>
    <w:rsid w:val="00927A8F"/>
    <w:rsid w:val="00927C3B"/>
    <w:rsid w:val="00931E97"/>
    <w:rsid w:val="00932374"/>
    <w:rsid w:val="009352DD"/>
    <w:rsid w:val="00936DD7"/>
    <w:rsid w:val="0094296C"/>
    <w:rsid w:val="00943C85"/>
    <w:rsid w:val="00945DA5"/>
    <w:rsid w:val="00946A05"/>
    <w:rsid w:val="00946DE0"/>
    <w:rsid w:val="009504A5"/>
    <w:rsid w:val="00951C9F"/>
    <w:rsid w:val="00952735"/>
    <w:rsid w:val="0095335B"/>
    <w:rsid w:val="0095382B"/>
    <w:rsid w:val="0095405A"/>
    <w:rsid w:val="00954333"/>
    <w:rsid w:val="00954E69"/>
    <w:rsid w:val="0095564A"/>
    <w:rsid w:val="00955670"/>
    <w:rsid w:val="009620BF"/>
    <w:rsid w:val="00962A24"/>
    <w:rsid w:val="009634D9"/>
    <w:rsid w:val="00963DAD"/>
    <w:rsid w:val="009640AA"/>
    <w:rsid w:val="00964F9F"/>
    <w:rsid w:val="009726DB"/>
    <w:rsid w:val="00972F72"/>
    <w:rsid w:val="00974579"/>
    <w:rsid w:val="00975D66"/>
    <w:rsid w:val="009760C4"/>
    <w:rsid w:val="00976542"/>
    <w:rsid w:val="009831E7"/>
    <w:rsid w:val="00983247"/>
    <w:rsid w:val="00984EFB"/>
    <w:rsid w:val="00985C69"/>
    <w:rsid w:val="00985D7F"/>
    <w:rsid w:val="00990174"/>
    <w:rsid w:val="00990EDE"/>
    <w:rsid w:val="00993408"/>
    <w:rsid w:val="009937BE"/>
    <w:rsid w:val="00997D30"/>
    <w:rsid w:val="00997F3A"/>
    <w:rsid w:val="009A080E"/>
    <w:rsid w:val="009A1A28"/>
    <w:rsid w:val="009A21E1"/>
    <w:rsid w:val="009A2971"/>
    <w:rsid w:val="009A2D87"/>
    <w:rsid w:val="009A4187"/>
    <w:rsid w:val="009A42BC"/>
    <w:rsid w:val="009A4DEE"/>
    <w:rsid w:val="009A50A3"/>
    <w:rsid w:val="009A7126"/>
    <w:rsid w:val="009A7488"/>
    <w:rsid w:val="009B01CC"/>
    <w:rsid w:val="009B0B66"/>
    <w:rsid w:val="009B1F29"/>
    <w:rsid w:val="009B2561"/>
    <w:rsid w:val="009B2DD6"/>
    <w:rsid w:val="009B2F4B"/>
    <w:rsid w:val="009B47D3"/>
    <w:rsid w:val="009B4A92"/>
    <w:rsid w:val="009C42F0"/>
    <w:rsid w:val="009D23E0"/>
    <w:rsid w:val="009D33B8"/>
    <w:rsid w:val="009D3F8E"/>
    <w:rsid w:val="009D4443"/>
    <w:rsid w:val="009D56E7"/>
    <w:rsid w:val="009D6777"/>
    <w:rsid w:val="009E1C67"/>
    <w:rsid w:val="009E222D"/>
    <w:rsid w:val="009E3473"/>
    <w:rsid w:val="009E3FF3"/>
    <w:rsid w:val="009E513C"/>
    <w:rsid w:val="009E5C67"/>
    <w:rsid w:val="009F005E"/>
    <w:rsid w:val="009F06C7"/>
    <w:rsid w:val="009F06D6"/>
    <w:rsid w:val="009F196F"/>
    <w:rsid w:val="009F1D5B"/>
    <w:rsid w:val="009F7A35"/>
    <w:rsid w:val="00A02021"/>
    <w:rsid w:val="00A02494"/>
    <w:rsid w:val="00A033DE"/>
    <w:rsid w:val="00A03D8A"/>
    <w:rsid w:val="00A14ED4"/>
    <w:rsid w:val="00A1649B"/>
    <w:rsid w:val="00A16B62"/>
    <w:rsid w:val="00A21466"/>
    <w:rsid w:val="00A2328E"/>
    <w:rsid w:val="00A25AF5"/>
    <w:rsid w:val="00A26234"/>
    <w:rsid w:val="00A26B81"/>
    <w:rsid w:val="00A30577"/>
    <w:rsid w:val="00A31AE9"/>
    <w:rsid w:val="00A32004"/>
    <w:rsid w:val="00A358C3"/>
    <w:rsid w:val="00A36FEF"/>
    <w:rsid w:val="00A37D55"/>
    <w:rsid w:val="00A4178D"/>
    <w:rsid w:val="00A41A75"/>
    <w:rsid w:val="00A438D3"/>
    <w:rsid w:val="00A43A9C"/>
    <w:rsid w:val="00A441A7"/>
    <w:rsid w:val="00A445CC"/>
    <w:rsid w:val="00A44F54"/>
    <w:rsid w:val="00A45A75"/>
    <w:rsid w:val="00A46140"/>
    <w:rsid w:val="00A46A12"/>
    <w:rsid w:val="00A47DC0"/>
    <w:rsid w:val="00A50ABE"/>
    <w:rsid w:val="00A53AA9"/>
    <w:rsid w:val="00A55367"/>
    <w:rsid w:val="00A56235"/>
    <w:rsid w:val="00A563B2"/>
    <w:rsid w:val="00A56EA7"/>
    <w:rsid w:val="00A57A42"/>
    <w:rsid w:val="00A60DC6"/>
    <w:rsid w:val="00A6121B"/>
    <w:rsid w:val="00A62FAB"/>
    <w:rsid w:val="00A63722"/>
    <w:rsid w:val="00A6422D"/>
    <w:rsid w:val="00A64886"/>
    <w:rsid w:val="00A64D09"/>
    <w:rsid w:val="00A668E5"/>
    <w:rsid w:val="00A67B47"/>
    <w:rsid w:val="00A71D6A"/>
    <w:rsid w:val="00A73BCA"/>
    <w:rsid w:val="00A77493"/>
    <w:rsid w:val="00A8141F"/>
    <w:rsid w:val="00A8501A"/>
    <w:rsid w:val="00A8713F"/>
    <w:rsid w:val="00A904A7"/>
    <w:rsid w:val="00A91490"/>
    <w:rsid w:val="00A914E3"/>
    <w:rsid w:val="00A92020"/>
    <w:rsid w:val="00A92BDB"/>
    <w:rsid w:val="00A95047"/>
    <w:rsid w:val="00A951A4"/>
    <w:rsid w:val="00A95AAD"/>
    <w:rsid w:val="00A96F7F"/>
    <w:rsid w:val="00A975BE"/>
    <w:rsid w:val="00AA0572"/>
    <w:rsid w:val="00AA1377"/>
    <w:rsid w:val="00AA39B5"/>
    <w:rsid w:val="00AA6C6C"/>
    <w:rsid w:val="00AB15CB"/>
    <w:rsid w:val="00AB59D0"/>
    <w:rsid w:val="00AC0051"/>
    <w:rsid w:val="00AC0E1B"/>
    <w:rsid w:val="00AC16AF"/>
    <w:rsid w:val="00AC2E8B"/>
    <w:rsid w:val="00AC36D0"/>
    <w:rsid w:val="00AC7564"/>
    <w:rsid w:val="00AC7641"/>
    <w:rsid w:val="00AD1F83"/>
    <w:rsid w:val="00AD46A1"/>
    <w:rsid w:val="00AD6292"/>
    <w:rsid w:val="00AE4292"/>
    <w:rsid w:val="00AE49FF"/>
    <w:rsid w:val="00AE777C"/>
    <w:rsid w:val="00AF1833"/>
    <w:rsid w:val="00AF3EA9"/>
    <w:rsid w:val="00AF4463"/>
    <w:rsid w:val="00AF47D7"/>
    <w:rsid w:val="00AF51D2"/>
    <w:rsid w:val="00AF538E"/>
    <w:rsid w:val="00AF7004"/>
    <w:rsid w:val="00B00494"/>
    <w:rsid w:val="00B00748"/>
    <w:rsid w:val="00B0172C"/>
    <w:rsid w:val="00B0341F"/>
    <w:rsid w:val="00B050EF"/>
    <w:rsid w:val="00B0685F"/>
    <w:rsid w:val="00B07CAE"/>
    <w:rsid w:val="00B128A2"/>
    <w:rsid w:val="00B14B65"/>
    <w:rsid w:val="00B150E4"/>
    <w:rsid w:val="00B1690B"/>
    <w:rsid w:val="00B22A47"/>
    <w:rsid w:val="00B22FB4"/>
    <w:rsid w:val="00B23F24"/>
    <w:rsid w:val="00B27306"/>
    <w:rsid w:val="00B3015F"/>
    <w:rsid w:val="00B32A89"/>
    <w:rsid w:val="00B36955"/>
    <w:rsid w:val="00B40380"/>
    <w:rsid w:val="00B4225E"/>
    <w:rsid w:val="00B45524"/>
    <w:rsid w:val="00B458FA"/>
    <w:rsid w:val="00B4597B"/>
    <w:rsid w:val="00B47276"/>
    <w:rsid w:val="00B47555"/>
    <w:rsid w:val="00B50E25"/>
    <w:rsid w:val="00B51626"/>
    <w:rsid w:val="00B51C5A"/>
    <w:rsid w:val="00B53B5A"/>
    <w:rsid w:val="00B55049"/>
    <w:rsid w:val="00B55DDB"/>
    <w:rsid w:val="00B61308"/>
    <w:rsid w:val="00B61A78"/>
    <w:rsid w:val="00B62D9E"/>
    <w:rsid w:val="00B67608"/>
    <w:rsid w:val="00B70726"/>
    <w:rsid w:val="00B708E2"/>
    <w:rsid w:val="00B709A6"/>
    <w:rsid w:val="00B722CA"/>
    <w:rsid w:val="00B75495"/>
    <w:rsid w:val="00B86211"/>
    <w:rsid w:val="00B86390"/>
    <w:rsid w:val="00B87434"/>
    <w:rsid w:val="00B92E31"/>
    <w:rsid w:val="00B936C1"/>
    <w:rsid w:val="00BA0B22"/>
    <w:rsid w:val="00BA2544"/>
    <w:rsid w:val="00BA362F"/>
    <w:rsid w:val="00BA3E26"/>
    <w:rsid w:val="00BA5D3C"/>
    <w:rsid w:val="00BB0C00"/>
    <w:rsid w:val="00BB16B0"/>
    <w:rsid w:val="00BB32BA"/>
    <w:rsid w:val="00BB4522"/>
    <w:rsid w:val="00BB4657"/>
    <w:rsid w:val="00BB4A73"/>
    <w:rsid w:val="00BB608F"/>
    <w:rsid w:val="00BB6978"/>
    <w:rsid w:val="00BC03D2"/>
    <w:rsid w:val="00BC0718"/>
    <w:rsid w:val="00BC10E0"/>
    <w:rsid w:val="00BC2169"/>
    <w:rsid w:val="00BC484F"/>
    <w:rsid w:val="00BC4D18"/>
    <w:rsid w:val="00BD1070"/>
    <w:rsid w:val="00BD14B5"/>
    <w:rsid w:val="00BD3C1F"/>
    <w:rsid w:val="00BD41A4"/>
    <w:rsid w:val="00BD5F69"/>
    <w:rsid w:val="00BD610B"/>
    <w:rsid w:val="00BD6286"/>
    <w:rsid w:val="00BE00E1"/>
    <w:rsid w:val="00BE1568"/>
    <w:rsid w:val="00BE3A00"/>
    <w:rsid w:val="00BE7A60"/>
    <w:rsid w:val="00BF0277"/>
    <w:rsid w:val="00BF158A"/>
    <w:rsid w:val="00BF2816"/>
    <w:rsid w:val="00BF3765"/>
    <w:rsid w:val="00C014F1"/>
    <w:rsid w:val="00C03C91"/>
    <w:rsid w:val="00C03F3F"/>
    <w:rsid w:val="00C04104"/>
    <w:rsid w:val="00C04E8E"/>
    <w:rsid w:val="00C07749"/>
    <w:rsid w:val="00C07AD1"/>
    <w:rsid w:val="00C217C6"/>
    <w:rsid w:val="00C2190A"/>
    <w:rsid w:val="00C25F33"/>
    <w:rsid w:val="00C27A2F"/>
    <w:rsid w:val="00C336DE"/>
    <w:rsid w:val="00C340B0"/>
    <w:rsid w:val="00C34A89"/>
    <w:rsid w:val="00C37F0B"/>
    <w:rsid w:val="00C4004F"/>
    <w:rsid w:val="00C432EB"/>
    <w:rsid w:val="00C45192"/>
    <w:rsid w:val="00C46FFA"/>
    <w:rsid w:val="00C50087"/>
    <w:rsid w:val="00C502F4"/>
    <w:rsid w:val="00C522D1"/>
    <w:rsid w:val="00C572FA"/>
    <w:rsid w:val="00C57E34"/>
    <w:rsid w:val="00C607C7"/>
    <w:rsid w:val="00C61134"/>
    <w:rsid w:val="00C63012"/>
    <w:rsid w:val="00C640A1"/>
    <w:rsid w:val="00C647CC"/>
    <w:rsid w:val="00C659EF"/>
    <w:rsid w:val="00C712B3"/>
    <w:rsid w:val="00C75017"/>
    <w:rsid w:val="00C754EF"/>
    <w:rsid w:val="00C7751C"/>
    <w:rsid w:val="00C808EE"/>
    <w:rsid w:val="00C82E31"/>
    <w:rsid w:val="00C82F9E"/>
    <w:rsid w:val="00C82FD3"/>
    <w:rsid w:val="00C844AF"/>
    <w:rsid w:val="00C8680A"/>
    <w:rsid w:val="00C87063"/>
    <w:rsid w:val="00C87CB0"/>
    <w:rsid w:val="00C940A9"/>
    <w:rsid w:val="00C948C1"/>
    <w:rsid w:val="00C95FA7"/>
    <w:rsid w:val="00C9687B"/>
    <w:rsid w:val="00C97E06"/>
    <w:rsid w:val="00CA3D62"/>
    <w:rsid w:val="00CA5878"/>
    <w:rsid w:val="00CA6D6A"/>
    <w:rsid w:val="00CB05E4"/>
    <w:rsid w:val="00CB0D3B"/>
    <w:rsid w:val="00CB4715"/>
    <w:rsid w:val="00CB5F91"/>
    <w:rsid w:val="00CB7375"/>
    <w:rsid w:val="00CB7A82"/>
    <w:rsid w:val="00CC04E5"/>
    <w:rsid w:val="00CC268E"/>
    <w:rsid w:val="00CC2E1E"/>
    <w:rsid w:val="00CC5591"/>
    <w:rsid w:val="00CC7405"/>
    <w:rsid w:val="00CD1636"/>
    <w:rsid w:val="00CD343E"/>
    <w:rsid w:val="00CD4BEB"/>
    <w:rsid w:val="00CD581C"/>
    <w:rsid w:val="00CD68BB"/>
    <w:rsid w:val="00CE1EA6"/>
    <w:rsid w:val="00CE4749"/>
    <w:rsid w:val="00CE5534"/>
    <w:rsid w:val="00CE5755"/>
    <w:rsid w:val="00CF1C4B"/>
    <w:rsid w:val="00CF1F94"/>
    <w:rsid w:val="00CF29D0"/>
    <w:rsid w:val="00CF29FD"/>
    <w:rsid w:val="00CF4173"/>
    <w:rsid w:val="00CF6EB6"/>
    <w:rsid w:val="00D00A90"/>
    <w:rsid w:val="00D01A0A"/>
    <w:rsid w:val="00D028F3"/>
    <w:rsid w:val="00D05723"/>
    <w:rsid w:val="00D13E3D"/>
    <w:rsid w:val="00D14ED9"/>
    <w:rsid w:val="00D16EB2"/>
    <w:rsid w:val="00D1735A"/>
    <w:rsid w:val="00D221DE"/>
    <w:rsid w:val="00D233F1"/>
    <w:rsid w:val="00D23421"/>
    <w:rsid w:val="00D23B2B"/>
    <w:rsid w:val="00D23C0C"/>
    <w:rsid w:val="00D24A82"/>
    <w:rsid w:val="00D26201"/>
    <w:rsid w:val="00D26800"/>
    <w:rsid w:val="00D300D1"/>
    <w:rsid w:val="00D37CF1"/>
    <w:rsid w:val="00D37F32"/>
    <w:rsid w:val="00D400A4"/>
    <w:rsid w:val="00D51F3C"/>
    <w:rsid w:val="00D60FCB"/>
    <w:rsid w:val="00D65A38"/>
    <w:rsid w:val="00D65EB1"/>
    <w:rsid w:val="00D724A3"/>
    <w:rsid w:val="00D73ACA"/>
    <w:rsid w:val="00D7515C"/>
    <w:rsid w:val="00D81D11"/>
    <w:rsid w:val="00D81DD7"/>
    <w:rsid w:val="00D84754"/>
    <w:rsid w:val="00D851F5"/>
    <w:rsid w:val="00D9256C"/>
    <w:rsid w:val="00D95880"/>
    <w:rsid w:val="00D9596B"/>
    <w:rsid w:val="00D9626A"/>
    <w:rsid w:val="00D968BE"/>
    <w:rsid w:val="00D96C46"/>
    <w:rsid w:val="00D96C57"/>
    <w:rsid w:val="00D979E1"/>
    <w:rsid w:val="00DA0BAD"/>
    <w:rsid w:val="00DB6CF6"/>
    <w:rsid w:val="00DB6E09"/>
    <w:rsid w:val="00DC2804"/>
    <w:rsid w:val="00DC2AB3"/>
    <w:rsid w:val="00DD0312"/>
    <w:rsid w:val="00DD516D"/>
    <w:rsid w:val="00DD7B5B"/>
    <w:rsid w:val="00DE06DD"/>
    <w:rsid w:val="00DE0D63"/>
    <w:rsid w:val="00DE1268"/>
    <w:rsid w:val="00DE2F44"/>
    <w:rsid w:val="00DE3725"/>
    <w:rsid w:val="00DE3840"/>
    <w:rsid w:val="00DE3B5E"/>
    <w:rsid w:val="00DF0014"/>
    <w:rsid w:val="00DF2D2C"/>
    <w:rsid w:val="00DF6A8A"/>
    <w:rsid w:val="00DF74D3"/>
    <w:rsid w:val="00E00B92"/>
    <w:rsid w:val="00E00DD6"/>
    <w:rsid w:val="00E0100C"/>
    <w:rsid w:val="00E01895"/>
    <w:rsid w:val="00E022D0"/>
    <w:rsid w:val="00E03CAE"/>
    <w:rsid w:val="00E06654"/>
    <w:rsid w:val="00E068E3"/>
    <w:rsid w:val="00E07EDB"/>
    <w:rsid w:val="00E1024D"/>
    <w:rsid w:val="00E10C46"/>
    <w:rsid w:val="00E10EE4"/>
    <w:rsid w:val="00E13E30"/>
    <w:rsid w:val="00E140B4"/>
    <w:rsid w:val="00E146C6"/>
    <w:rsid w:val="00E16E21"/>
    <w:rsid w:val="00E20C94"/>
    <w:rsid w:val="00E30BF6"/>
    <w:rsid w:val="00E31077"/>
    <w:rsid w:val="00E333D0"/>
    <w:rsid w:val="00E34283"/>
    <w:rsid w:val="00E342C3"/>
    <w:rsid w:val="00E3501C"/>
    <w:rsid w:val="00E4162E"/>
    <w:rsid w:val="00E43E56"/>
    <w:rsid w:val="00E446C5"/>
    <w:rsid w:val="00E47422"/>
    <w:rsid w:val="00E47FC3"/>
    <w:rsid w:val="00E50799"/>
    <w:rsid w:val="00E5206C"/>
    <w:rsid w:val="00E524CE"/>
    <w:rsid w:val="00E5302A"/>
    <w:rsid w:val="00E55EE0"/>
    <w:rsid w:val="00E60811"/>
    <w:rsid w:val="00E67069"/>
    <w:rsid w:val="00E67D33"/>
    <w:rsid w:val="00E72ADF"/>
    <w:rsid w:val="00E73330"/>
    <w:rsid w:val="00E7728B"/>
    <w:rsid w:val="00E773FA"/>
    <w:rsid w:val="00E80F06"/>
    <w:rsid w:val="00E810E0"/>
    <w:rsid w:val="00E82FBE"/>
    <w:rsid w:val="00E83615"/>
    <w:rsid w:val="00E8493B"/>
    <w:rsid w:val="00E84E17"/>
    <w:rsid w:val="00E91607"/>
    <w:rsid w:val="00E93409"/>
    <w:rsid w:val="00E941C0"/>
    <w:rsid w:val="00E957EB"/>
    <w:rsid w:val="00E95EBA"/>
    <w:rsid w:val="00E963EB"/>
    <w:rsid w:val="00EA33AD"/>
    <w:rsid w:val="00EA376A"/>
    <w:rsid w:val="00EA40E8"/>
    <w:rsid w:val="00EA7512"/>
    <w:rsid w:val="00EB09FC"/>
    <w:rsid w:val="00EB1D11"/>
    <w:rsid w:val="00EB24A1"/>
    <w:rsid w:val="00EB3436"/>
    <w:rsid w:val="00EB743B"/>
    <w:rsid w:val="00EC1E3B"/>
    <w:rsid w:val="00EC271A"/>
    <w:rsid w:val="00EC7BBA"/>
    <w:rsid w:val="00ED15FF"/>
    <w:rsid w:val="00ED1AA7"/>
    <w:rsid w:val="00ED2A59"/>
    <w:rsid w:val="00ED5323"/>
    <w:rsid w:val="00ED7AB3"/>
    <w:rsid w:val="00EE07CC"/>
    <w:rsid w:val="00EE30F5"/>
    <w:rsid w:val="00EE3F44"/>
    <w:rsid w:val="00EE55B0"/>
    <w:rsid w:val="00EE7742"/>
    <w:rsid w:val="00EF27B0"/>
    <w:rsid w:val="00EF48AF"/>
    <w:rsid w:val="00EF5203"/>
    <w:rsid w:val="00EF5D53"/>
    <w:rsid w:val="00EF7F58"/>
    <w:rsid w:val="00F01366"/>
    <w:rsid w:val="00F014B7"/>
    <w:rsid w:val="00F01711"/>
    <w:rsid w:val="00F02563"/>
    <w:rsid w:val="00F02697"/>
    <w:rsid w:val="00F038C7"/>
    <w:rsid w:val="00F06A7F"/>
    <w:rsid w:val="00F070B3"/>
    <w:rsid w:val="00F10062"/>
    <w:rsid w:val="00F10413"/>
    <w:rsid w:val="00F12EBB"/>
    <w:rsid w:val="00F1435C"/>
    <w:rsid w:val="00F14FBA"/>
    <w:rsid w:val="00F21BC3"/>
    <w:rsid w:val="00F22BC6"/>
    <w:rsid w:val="00F24549"/>
    <w:rsid w:val="00F2477F"/>
    <w:rsid w:val="00F26457"/>
    <w:rsid w:val="00F26AC1"/>
    <w:rsid w:val="00F27289"/>
    <w:rsid w:val="00F2735B"/>
    <w:rsid w:val="00F27C04"/>
    <w:rsid w:val="00F326D3"/>
    <w:rsid w:val="00F32851"/>
    <w:rsid w:val="00F335B9"/>
    <w:rsid w:val="00F3453C"/>
    <w:rsid w:val="00F3626E"/>
    <w:rsid w:val="00F3745B"/>
    <w:rsid w:val="00F37A02"/>
    <w:rsid w:val="00F37D38"/>
    <w:rsid w:val="00F43CEA"/>
    <w:rsid w:val="00F44D3A"/>
    <w:rsid w:val="00F44EA3"/>
    <w:rsid w:val="00F4582A"/>
    <w:rsid w:val="00F460F1"/>
    <w:rsid w:val="00F47849"/>
    <w:rsid w:val="00F47F26"/>
    <w:rsid w:val="00F5119E"/>
    <w:rsid w:val="00F56BA7"/>
    <w:rsid w:val="00F60042"/>
    <w:rsid w:val="00F61D6C"/>
    <w:rsid w:val="00F636C6"/>
    <w:rsid w:val="00F646DF"/>
    <w:rsid w:val="00F65A3D"/>
    <w:rsid w:val="00F669B0"/>
    <w:rsid w:val="00F6710E"/>
    <w:rsid w:val="00F71203"/>
    <w:rsid w:val="00F730CA"/>
    <w:rsid w:val="00F8012D"/>
    <w:rsid w:val="00F82446"/>
    <w:rsid w:val="00F826D7"/>
    <w:rsid w:val="00F84271"/>
    <w:rsid w:val="00F84836"/>
    <w:rsid w:val="00F84E1E"/>
    <w:rsid w:val="00F84FDE"/>
    <w:rsid w:val="00F85A3D"/>
    <w:rsid w:val="00F87BC4"/>
    <w:rsid w:val="00F87EB0"/>
    <w:rsid w:val="00F908D6"/>
    <w:rsid w:val="00F92440"/>
    <w:rsid w:val="00F93731"/>
    <w:rsid w:val="00F9410C"/>
    <w:rsid w:val="00F946C3"/>
    <w:rsid w:val="00F950A6"/>
    <w:rsid w:val="00F957AF"/>
    <w:rsid w:val="00F95A1E"/>
    <w:rsid w:val="00F96AA8"/>
    <w:rsid w:val="00FA00BB"/>
    <w:rsid w:val="00FA0CC3"/>
    <w:rsid w:val="00FA12A8"/>
    <w:rsid w:val="00FA1AED"/>
    <w:rsid w:val="00FA22FA"/>
    <w:rsid w:val="00FA2949"/>
    <w:rsid w:val="00FA2CDB"/>
    <w:rsid w:val="00FA5EAB"/>
    <w:rsid w:val="00FB0117"/>
    <w:rsid w:val="00FB3C18"/>
    <w:rsid w:val="00FB6437"/>
    <w:rsid w:val="00FB6A67"/>
    <w:rsid w:val="00FC1CD5"/>
    <w:rsid w:val="00FC3B6D"/>
    <w:rsid w:val="00FC6216"/>
    <w:rsid w:val="00FD11B7"/>
    <w:rsid w:val="00FD21F8"/>
    <w:rsid w:val="00FD2AB0"/>
    <w:rsid w:val="00FD4422"/>
    <w:rsid w:val="00FD460C"/>
    <w:rsid w:val="00FD5E31"/>
    <w:rsid w:val="00FD6573"/>
    <w:rsid w:val="00FD72D0"/>
    <w:rsid w:val="00FE19AC"/>
    <w:rsid w:val="00FE27FA"/>
    <w:rsid w:val="00FE4037"/>
    <w:rsid w:val="00FE4CA2"/>
    <w:rsid w:val="00FE562F"/>
    <w:rsid w:val="00FE5962"/>
    <w:rsid w:val="00FF0E4B"/>
    <w:rsid w:val="00FF1680"/>
    <w:rsid w:val="00FF1831"/>
    <w:rsid w:val="00FF307D"/>
    <w:rsid w:val="00FF3872"/>
    <w:rsid w:val="00FF4145"/>
    <w:rsid w:val="00FF5A39"/>
    <w:rsid w:val="00FF625C"/>
    <w:rsid w:val="0100390C"/>
    <w:rsid w:val="010A1426"/>
    <w:rsid w:val="010D4F6F"/>
    <w:rsid w:val="01126A09"/>
    <w:rsid w:val="01315C76"/>
    <w:rsid w:val="013543A2"/>
    <w:rsid w:val="014C4DA3"/>
    <w:rsid w:val="014D28C9"/>
    <w:rsid w:val="015924FE"/>
    <w:rsid w:val="01687703"/>
    <w:rsid w:val="01703E9A"/>
    <w:rsid w:val="01AC75F0"/>
    <w:rsid w:val="01B70E77"/>
    <w:rsid w:val="01B84F51"/>
    <w:rsid w:val="01CB6780"/>
    <w:rsid w:val="01D13C53"/>
    <w:rsid w:val="02085FB6"/>
    <w:rsid w:val="022655F4"/>
    <w:rsid w:val="023B6BC5"/>
    <w:rsid w:val="0250452B"/>
    <w:rsid w:val="02511F45"/>
    <w:rsid w:val="025F1A6A"/>
    <w:rsid w:val="0262365B"/>
    <w:rsid w:val="02624152"/>
    <w:rsid w:val="0271098F"/>
    <w:rsid w:val="027242F8"/>
    <w:rsid w:val="02AB5AF9"/>
    <w:rsid w:val="02B8550F"/>
    <w:rsid w:val="02BD2A61"/>
    <w:rsid w:val="02CB1CF7"/>
    <w:rsid w:val="02DD0987"/>
    <w:rsid w:val="03031491"/>
    <w:rsid w:val="0330315B"/>
    <w:rsid w:val="03304250"/>
    <w:rsid w:val="033955F8"/>
    <w:rsid w:val="03616052"/>
    <w:rsid w:val="036F4D79"/>
    <w:rsid w:val="038D51FF"/>
    <w:rsid w:val="03A10CAA"/>
    <w:rsid w:val="03A32C74"/>
    <w:rsid w:val="03A367D0"/>
    <w:rsid w:val="03AA7B5F"/>
    <w:rsid w:val="03BA0D49"/>
    <w:rsid w:val="03BE544B"/>
    <w:rsid w:val="03BF6CEB"/>
    <w:rsid w:val="03D25D2F"/>
    <w:rsid w:val="03D2748F"/>
    <w:rsid w:val="03D90444"/>
    <w:rsid w:val="03DB42E4"/>
    <w:rsid w:val="03EC0177"/>
    <w:rsid w:val="04201FDD"/>
    <w:rsid w:val="04284C5D"/>
    <w:rsid w:val="04482E42"/>
    <w:rsid w:val="044E7EFA"/>
    <w:rsid w:val="045F2658"/>
    <w:rsid w:val="04724CE9"/>
    <w:rsid w:val="04797E87"/>
    <w:rsid w:val="04843BD0"/>
    <w:rsid w:val="04CB2483"/>
    <w:rsid w:val="04DF38AC"/>
    <w:rsid w:val="04E15802"/>
    <w:rsid w:val="04FA4B16"/>
    <w:rsid w:val="050B0AD1"/>
    <w:rsid w:val="050E50E5"/>
    <w:rsid w:val="051536FE"/>
    <w:rsid w:val="052027CE"/>
    <w:rsid w:val="0531798F"/>
    <w:rsid w:val="053A2BD6"/>
    <w:rsid w:val="05551D4C"/>
    <w:rsid w:val="05652AA0"/>
    <w:rsid w:val="05663F59"/>
    <w:rsid w:val="05706B86"/>
    <w:rsid w:val="057747FA"/>
    <w:rsid w:val="057C19CF"/>
    <w:rsid w:val="058645FB"/>
    <w:rsid w:val="05947F28"/>
    <w:rsid w:val="059A3C03"/>
    <w:rsid w:val="059C31DE"/>
    <w:rsid w:val="05BC1DCB"/>
    <w:rsid w:val="05BF60C0"/>
    <w:rsid w:val="05CB4F1A"/>
    <w:rsid w:val="05CF7D50"/>
    <w:rsid w:val="05E25CD6"/>
    <w:rsid w:val="05F477B7"/>
    <w:rsid w:val="061614DB"/>
    <w:rsid w:val="06287461"/>
    <w:rsid w:val="06347EA7"/>
    <w:rsid w:val="064157B2"/>
    <w:rsid w:val="06667044"/>
    <w:rsid w:val="066B69E2"/>
    <w:rsid w:val="066E1317"/>
    <w:rsid w:val="06752E74"/>
    <w:rsid w:val="067803E8"/>
    <w:rsid w:val="06856661"/>
    <w:rsid w:val="068F7A04"/>
    <w:rsid w:val="06B076AE"/>
    <w:rsid w:val="06C278B5"/>
    <w:rsid w:val="06CE625A"/>
    <w:rsid w:val="071A272D"/>
    <w:rsid w:val="072B7208"/>
    <w:rsid w:val="072D4EC7"/>
    <w:rsid w:val="075B5FCB"/>
    <w:rsid w:val="07631754"/>
    <w:rsid w:val="076B5857"/>
    <w:rsid w:val="077B1E72"/>
    <w:rsid w:val="07875EF1"/>
    <w:rsid w:val="07953377"/>
    <w:rsid w:val="079C0106"/>
    <w:rsid w:val="07A019A5"/>
    <w:rsid w:val="07B635D8"/>
    <w:rsid w:val="07C531B9"/>
    <w:rsid w:val="07D548C5"/>
    <w:rsid w:val="07E35D35"/>
    <w:rsid w:val="07E72787"/>
    <w:rsid w:val="08036A70"/>
    <w:rsid w:val="0822685D"/>
    <w:rsid w:val="08260DE2"/>
    <w:rsid w:val="08297BEC"/>
    <w:rsid w:val="082E5728"/>
    <w:rsid w:val="083B791F"/>
    <w:rsid w:val="083D260A"/>
    <w:rsid w:val="08411C9E"/>
    <w:rsid w:val="08493DEA"/>
    <w:rsid w:val="08493EFE"/>
    <w:rsid w:val="08680944"/>
    <w:rsid w:val="088C2FC3"/>
    <w:rsid w:val="08935065"/>
    <w:rsid w:val="089E3A0A"/>
    <w:rsid w:val="089F1C5C"/>
    <w:rsid w:val="08A56ABA"/>
    <w:rsid w:val="08B84ACC"/>
    <w:rsid w:val="08D00067"/>
    <w:rsid w:val="08F663A2"/>
    <w:rsid w:val="08F74913"/>
    <w:rsid w:val="091E0545"/>
    <w:rsid w:val="09242161"/>
    <w:rsid w:val="09265ED9"/>
    <w:rsid w:val="092D40FB"/>
    <w:rsid w:val="094F6E07"/>
    <w:rsid w:val="09521683"/>
    <w:rsid w:val="095803FE"/>
    <w:rsid w:val="096333E2"/>
    <w:rsid w:val="0966277A"/>
    <w:rsid w:val="096B2561"/>
    <w:rsid w:val="097E5D15"/>
    <w:rsid w:val="09A31659"/>
    <w:rsid w:val="09AD2157"/>
    <w:rsid w:val="09AE175E"/>
    <w:rsid w:val="09BC4C36"/>
    <w:rsid w:val="09C02475"/>
    <w:rsid w:val="09CF1D4B"/>
    <w:rsid w:val="09D21BBD"/>
    <w:rsid w:val="09D36016"/>
    <w:rsid w:val="09DC790A"/>
    <w:rsid w:val="09E66FF6"/>
    <w:rsid w:val="09FC5112"/>
    <w:rsid w:val="0A0333B9"/>
    <w:rsid w:val="0A11626D"/>
    <w:rsid w:val="0A1421D6"/>
    <w:rsid w:val="0A162780"/>
    <w:rsid w:val="0A2A37A7"/>
    <w:rsid w:val="0A2E3227"/>
    <w:rsid w:val="0A3D48C8"/>
    <w:rsid w:val="0A3D797F"/>
    <w:rsid w:val="0A4A209B"/>
    <w:rsid w:val="0A6C3DC0"/>
    <w:rsid w:val="0A716185"/>
    <w:rsid w:val="0A79415F"/>
    <w:rsid w:val="0A79613E"/>
    <w:rsid w:val="0A7D4664"/>
    <w:rsid w:val="0A83216D"/>
    <w:rsid w:val="0A99114F"/>
    <w:rsid w:val="0A99282A"/>
    <w:rsid w:val="0A9A0375"/>
    <w:rsid w:val="0A9E7CF1"/>
    <w:rsid w:val="0AA068F7"/>
    <w:rsid w:val="0AAC0660"/>
    <w:rsid w:val="0AB27D83"/>
    <w:rsid w:val="0AB93D4D"/>
    <w:rsid w:val="0AC7549A"/>
    <w:rsid w:val="0AE53B72"/>
    <w:rsid w:val="0AE95B76"/>
    <w:rsid w:val="0AED2486"/>
    <w:rsid w:val="0AF72F43"/>
    <w:rsid w:val="0B0C64FB"/>
    <w:rsid w:val="0B251BF5"/>
    <w:rsid w:val="0B3F59DA"/>
    <w:rsid w:val="0B433ABE"/>
    <w:rsid w:val="0B4A156F"/>
    <w:rsid w:val="0B4B60CB"/>
    <w:rsid w:val="0B520957"/>
    <w:rsid w:val="0B584344"/>
    <w:rsid w:val="0B605AE8"/>
    <w:rsid w:val="0B61144B"/>
    <w:rsid w:val="0B6B6E3A"/>
    <w:rsid w:val="0B6D2009"/>
    <w:rsid w:val="0B7401B5"/>
    <w:rsid w:val="0B7C77EA"/>
    <w:rsid w:val="0B8A0F7F"/>
    <w:rsid w:val="0B923CFA"/>
    <w:rsid w:val="0B9C31E4"/>
    <w:rsid w:val="0BAE21B6"/>
    <w:rsid w:val="0BBC4048"/>
    <w:rsid w:val="0BD90918"/>
    <w:rsid w:val="0BDC6D23"/>
    <w:rsid w:val="0BF422BF"/>
    <w:rsid w:val="0C0544CC"/>
    <w:rsid w:val="0C191D25"/>
    <w:rsid w:val="0C1B65CA"/>
    <w:rsid w:val="0C2A0BF5"/>
    <w:rsid w:val="0C3C74AF"/>
    <w:rsid w:val="0C632FA1"/>
    <w:rsid w:val="0C65028D"/>
    <w:rsid w:val="0C65102A"/>
    <w:rsid w:val="0C6C00A7"/>
    <w:rsid w:val="0C6F1945"/>
    <w:rsid w:val="0C7033F0"/>
    <w:rsid w:val="0C7468E9"/>
    <w:rsid w:val="0C765F6C"/>
    <w:rsid w:val="0C79066D"/>
    <w:rsid w:val="0C840196"/>
    <w:rsid w:val="0C8C699B"/>
    <w:rsid w:val="0C8F3D96"/>
    <w:rsid w:val="0CA45C19"/>
    <w:rsid w:val="0CAC4730"/>
    <w:rsid w:val="0CD520F0"/>
    <w:rsid w:val="0CF86927"/>
    <w:rsid w:val="0CFB58CF"/>
    <w:rsid w:val="0CFF0F1B"/>
    <w:rsid w:val="0D054058"/>
    <w:rsid w:val="0D0B2EAB"/>
    <w:rsid w:val="0D18022F"/>
    <w:rsid w:val="0D1F336B"/>
    <w:rsid w:val="0D295D6C"/>
    <w:rsid w:val="0D2A3ABE"/>
    <w:rsid w:val="0D305579"/>
    <w:rsid w:val="0D4903E8"/>
    <w:rsid w:val="0D5155C1"/>
    <w:rsid w:val="0D51729D"/>
    <w:rsid w:val="0D586E73"/>
    <w:rsid w:val="0D611BD6"/>
    <w:rsid w:val="0D63594E"/>
    <w:rsid w:val="0D814026"/>
    <w:rsid w:val="0D8256A8"/>
    <w:rsid w:val="0D8633EB"/>
    <w:rsid w:val="0D9F7416"/>
    <w:rsid w:val="0DA73361"/>
    <w:rsid w:val="0DAD5587"/>
    <w:rsid w:val="0DB241E0"/>
    <w:rsid w:val="0DBC6E0C"/>
    <w:rsid w:val="0DDA53A8"/>
    <w:rsid w:val="0DE0148D"/>
    <w:rsid w:val="0DE27E5D"/>
    <w:rsid w:val="0DE5483C"/>
    <w:rsid w:val="0DF009AC"/>
    <w:rsid w:val="0DF62AB4"/>
    <w:rsid w:val="0E0A1FE1"/>
    <w:rsid w:val="0E213113"/>
    <w:rsid w:val="0E2C21E4"/>
    <w:rsid w:val="0E325A2F"/>
    <w:rsid w:val="0E43308A"/>
    <w:rsid w:val="0E663DE3"/>
    <w:rsid w:val="0E727929"/>
    <w:rsid w:val="0E7E40C2"/>
    <w:rsid w:val="0E803068"/>
    <w:rsid w:val="0E8F5643"/>
    <w:rsid w:val="0E942F47"/>
    <w:rsid w:val="0E9A70AB"/>
    <w:rsid w:val="0EA40CAF"/>
    <w:rsid w:val="0EA7237A"/>
    <w:rsid w:val="0ECD6DF7"/>
    <w:rsid w:val="0EE02FCE"/>
    <w:rsid w:val="0F19203C"/>
    <w:rsid w:val="0F33338E"/>
    <w:rsid w:val="0F3420BD"/>
    <w:rsid w:val="0F4075C9"/>
    <w:rsid w:val="0F6350F0"/>
    <w:rsid w:val="0FE32D76"/>
    <w:rsid w:val="0FEB7CC7"/>
    <w:rsid w:val="0FF20505"/>
    <w:rsid w:val="0FFA07FB"/>
    <w:rsid w:val="1015280B"/>
    <w:rsid w:val="102F25B2"/>
    <w:rsid w:val="103D3AE0"/>
    <w:rsid w:val="1046354B"/>
    <w:rsid w:val="104B091B"/>
    <w:rsid w:val="10592DE9"/>
    <w:rsid w:val="109644AB"/>
    <w:rsid w:val="109A22B0"/>
    <w:rsid w:val="10AA1B06"/>
    <w:rsid w:val="10C761F4"/>
    <w:rsid w:val="10D0497D"/>
    <w:rsid w:val="10D5198A"/>
    <w:rsid w:val="10E32902"/>
    <w:rsid w:val="10E40F69"/>
    <w:rsid w:val="10FF3707"/>
    <w:rsid w:val="1107799B"/>
    <w:rsid w:val="11300774"/>
    <w:rsid w:val="113D64B6"/>
    <w:rsid w:val="117B2960"/>
    <w:rsid w:val="1186727F"/>
    <w:rsid w:val="11900597"/>
    <w:rsid w:val="119105B0"/>
    <w:rsid w:val="11A270FD"/>
    <w:rsid w:val="11B47626"/>
    <w:rsid w:val="11BD3153"/>
    <w:rsid w:val="11DF30C9"/>
    <w:rsid w:val="12133A07"/>
    <w:rsid w:val="123635A8"/>
    <w:rsid w:val="12403B60"/>
    <w:rsid w:val="12411FD6"/>
    <w:rsid w:val="124F46F3"/>
    <w:rsid w:val="12610D58"/>
    <w:rsid w:val="12612588"/>
    <w:rsid w:val="12685BA3"/>
    <w:rsid w:val="127E6B0C"/>
    <w:rsid w:val="12837EF9"/>
    <w:rsid w:val="12883761"/>
    <w:rsid w:val="128D521B"/>
    <w:rsid w:val="12D06D15"/>
    <w:rsid w:val="12D320C6"/>
    <w:rsid w:val="12D544CC"/>
    <w:rsid w:val="12E03CD3"/>
    <w:rsid w:val="12E7492B"/>
    <w:rsid w:val="13217712"/>
    <w:rsid w:val="13286CF2"/>
    <w:rsid w:val="13296CF3"/>
    <w:rsid w:val="134578A4"/>
    <w:rsid w:val="13510A26"/>
    <w:rsid w:val="135E2714"/>
    <w:rsid w:val="136844F9"/>
    <w:rsid w:val="13867665"/>
    <w:rsid w:val="139525D9"/>
    <w:rsid w:val="139A7ACD"/>
    <w:rsid w:val="13A2785E"/>
    <w:rsid w:val="13AC16D1"/>
    <w:rsid w:val="13BA6376"/>
    <w:rsid w:val="13CE1647"/>
    <w:rsid w:val="13D03611"/>
    <w:rsid w:val="13DA592E"/>
    <w:rsid w:val="13F16C39"/>
    <w:rsid w:val="13F86055"/>
    <w:rsid w:val="13FC2D30"/>
    <w:rsid w:val="13FF161E"/>
    <w:rsid w:val="142A5B62"/>
    <w:rsid w:val="142E225B"/>
    <w:rsid w:val="14333421"/>
    <w:rsid w:val="14356820"/>
    <w:rsid w:val="147127BB"/>
    <w:rsid w:val="14771EDD"/>
    <w:rsid w:val="147E12BF"/>
    <w:rsid w:val="14803C55"/>
    <w:rsid w:val="148541BB"/>
    <w:rsid w:val="148937C0"/>
    <w:rsid w:val="14897E35"/>
    <w:rsid w:val="14945773"/>
    <w:rsid w:val="14A66120"/>
    <w:rsid w:val="14E80F18"/>
    <w:rsid w:val="15274F8D"/>
    <w:rsid w:val="15393438"/>
    <w:rsid w:val="154871D8"/>
    <w:rsid w:val="15490082"/>
    <w:rsid w:val="154C316C"/>
    <w:rsid w:val="15510782"/>
    <w:rsid w:val="155142DE"/>
    <w:rsid w:val="15562CE4"/>
    <w:rsid w:val="155B515D"/>
    <w:rsid w:val="15657D89"/>
    <w:rsid w:val="156E6E68"/>
    <w:rsid w:val="1570382D"/>
    <w:rsid w:val="15826B8D"/>
    <w:rsid w:val="158551F9"/>
    <w:rsid w:val="158E5532"/>
    <w:rsid w:val="15B7178D"/>
    <w:rsid w:val="15D849FF"/>
    <w:rsid w:val="15EE4223"/>
    <w:rsid w:val="15F66C34"/>
    <w:rsid w:val="160E7A0D"/>
    <w:rsid w:val="160F43F2"/>
    <w:rsid w:val="162C6AF9"/>
    <w:rsid w:val="164639F9"/>
    <w:rsid w:val="164D2734"/>
    <w:rsid w:val="16667933"/>
    <w:rsid w:val="166A1A94"/>
    <w:rsid w:val="166B30D5"/>
    <w:rsid w:val="166E331E"/>
    <w:rsid w:val="16797F90"/>
    <w:rsid w:val="169A4941"/>
    <w:rsid w:val="169C77DB"/>
    <w:rsid w:val="16A25067"/>
    <w:rsid w:val="16AD3796"/>
    <w:rsid w:val="16AF39B2"/>
    <w:rsid w:val="16B44C04"/>
    <w:rsid w:val="16D12F3B"/>
    <w:rsid w:val="16E9178B"/>
    <w:rsid w:val="16EB2510"/>
    <w:rsid w:val="16EC4BB5"/>
    <w:rsid w:val="16EC5999"/>
    <w:rsid w:val="16F07B27"/>
    <w:rsid w:val="170245DA"/>
    <w:rsid w:val="170A508C"/>
    <w:rsid w:val="170A689E"/>
    <w:rsid w:val="17122433"/>
    <w:rsid w:val="171531CD"/>
    <w:rsid w:val="171811BB"/>
    <w:rsid w:val="17196CA0"/>
    <w:rsid w:val="17374894"/>
    <w:rsid w:val="175207E1"/>
    <w:rsid w:val="17766CFB"/>
    <w:rsid w:val="17994D0F"/>
    <w:rsid w:val="17A80401"/>
    <w:rsid w:val="17B326BA"/>
    <w:rsid w:val="17BD5425"/>
    <w:rsid w:val="17C3523B"/>
    <w:rsid w:val="17C470E7"/>
    <w:rsid w:val="17D00992"/>
    <w:rsid w:val="17D44EB7"/>
    <w:rsid w:val="17D5787E"/>
    <w:rsid w:val="17D82A95"/>
    <w:rsid w:val="17E93D42"/>
    <w:rsid w:val="17F378CF"/>
    <w:rsid w:val="17FD5F31"/>
    <w:rsid w:val="18031724"/>
    <w:rsid w:val="182E0907"/>
    <w:rsid w:val="18396D34"/>
    <w:rsid w:val="183A66E6"/>
    <w:rsid w:val="185547A4"/>
    <w:rsid w:val="18622CA6"/>
    <w:rsid w:val="18732650"/>
    <w:rsid w:val="18870570"/>
    <w:rsid w:val="188B3FAB"/>
    <w:rsid w:val="18910E95"/>
    <w:rsid w:val="189244AD"/>
    <w:rsid w:val="189310B2"/>
    <w:rsid w:val="189B3AC2"/>
    <w:rsid w:val="18B64FE5"/>
    <w:rsid w:val="18DA4362"/>
    <w:rsid w:val="18F558C8"/>
    <w:rsid w:val="18FA2EDF"/>
    <w:rsid w:val="19235F91"/>
    <w:rsid w:val="19370C92"/>
    <w:rsid w:val="19410B0E"/>
    <w:rsid w:val="1948000B"/>
    <w:rsid w:val="19564A9A"/>
    <w:rsid w:val="196842EC"/>
    <w:rsid w:val="19795932"/>
    <w:rsid w:val="19891124"/>
    <w:rsid w:val="198D1F04"/>
    <w:rsid w:val="19BF4459"/>
    <w:rsid w:val="19D90D46"/>
    <w:rsid w:val="19D96275"/>
    <w:rsid w:val="19E42FED"/>
    <w:rsid w:val="19EE1412"/>
    <w:rsid w:val="19F4733B"/>
    <w:rsid w:val="19F81A40"/>
    <w:rsid w:val="1A39020B"/>
    <w:rsid w:val="1A393593"/>
    <w:rsid w:val="1A444411"/>
    <w:rsid w:val="1A5003B0"/>
    <w:rsid w:val="1A69293F"/>
    <w:rsid w:val="1A6C659B"/>
    <w:rsid w:val="1A6E60F0"/>
    <w:rsid w:val="1A8940D9"/>
    <w:rsid w:val="1ABD2416"/>
    <w:rsid w:val="1AD11A1D"/>
    <w:rsid w:val="1AD734D7"/>
    <w:rsid w:val="1AE34AB0"/>
    <w:rsid w:val="1AF60FCB"/>
    <w:rsid w:val="1B065B6B"/>
    <w:rsid w:val="1B074CA8"/>
    <w:rsid w:val="1B09565B"/>
    <w:rsid w:val="1B132202"/>
    <w:rsid w:val="1B1C3C84"/>
    <w:rsid w:val="1B2129A5"/>
    <w:rsid w:val="1B5A65C8"/>
    <w:rsid w:val="1B866CAC"/>
    <w:rsid w:val="1B8B42C2"/>
    <w:rsid w:val="1B9907D4"/>
    <w:rsid w:val="1B9F3E1D"/>
    <w:rsid w:val="1BAD07E5"/>
    <w:rsid w:val="1BAD1318"/>
    <w:rsid w:val="1BAE0C7E"/>
    <w:rsid w:val="1BB455C7"/>
    <w:rsid w:val="1BB57BF5"/>
    <w:rsid w:val="1BB750B7"/>
    <w:rsid w:val="1BE0460E"/>
    <w:rsid w:val="1BF956CF"/>
    <w:rsid w:val="1C00080C"/>
    <w:rsid w:val="1C033E58"/>
    <w:rsid w:val="1C164652"/>
    <w:rsid w:val="1C302E5D"/>
    <w:rsid w:val="1C393FCE"/>
    <w:rsid w:val="1C395ACC"/>
    <w:rsid w:val="1C4E7C31"/>
    <w:rsid w:val="1C503CC6"/>
    <w:rsid w:val="1C6418AD"/>
    <w:rsid w:val="1C650103"/>
    <w:rsid w:val="1C6C5D0E"/>
    <w:rsid w:val="1C8A6328"/>
    <w:rsid w:val="1C9378D2"/>
    <w:rsid w:val="1CA7512B"/>
    <w:rsid w:val="1CB44238"/>
    <w:rsid w:val="1CBF4223"/>
    <w:rsid w:val="1CD81789"/>
    <w:rsid w:val="1D014614"/>
    <w:rsid w:val="1D385B51"/>
    <w:rsid w:val="1D3E01B3"/>
    <w:rsid w:val="1D403077"/>
    <w:rsid w:val="1D440BCC"/>
    <w:rsid w:val="1D512638"/>
    <w:rsid w:val="1D61715A"/>
    <w:rsid w:val="1D7276BB"/>
    <w:rsid w:val="1D8A4831"/>
    <w:rsid w:val="1D8F11D2"/>
    <w:rsid w:val="1D945474"/>
    <w:rsid w:val="1D9D3ED0"/>
    <w:rsid w:val="1D9E066F"/>
    <w:rsid w:val="1DB11240"/>
    <w:rsid w:val="1DCD2970"/>
    <w:rsid w:val="1DD7559C"/>
    <w:rsid w:val="1DDD1929"/>
    <w:rsid w:val="1DE71C83"/>
    <w:rsid w:val="1DE72A91"/>
    <w:rsid w:val="1DF604B9"/>
    <w:rsid w:val="1DF60E9B"/>
    <w:rsid w:val="1E0839A8"/>
    <w:rsid w:val="1E1A5894"/>
    <w:rsid w:val="1E1A7B74"/>
    <w:rsid w:val="1E340C41"/>
    <w:rsid w:val="1E37603B"/>
    <w:rsid w:val="1E477E9B"/>
    <w:rsid w:val="1E671261"/>
    <w:rsid w:val="1EA15DF9"/>
    <w:rsid w:val="1EA23DFC"/>
    <w:rsid w:val="1EB31B66"/>
    <w:rsid w:val="1ED33FB6"/>
    <w:rsid w:val="1F0D1440"/>
    <w:rsid w:val="1F122D30"/>
    <w:rsid w:val="1F171ECB"/>
    <w:rsid w:val="1F1A4839"/>
    <w:rsid w:val="1F2E5690"/>
    <w:rsid w:val="1F49419A"/>
    <w:rsid w:val="1F6341BD"/>
    <w:rsid w:val="1F980D5B"/>
    <w:rsid w:val="1FA31BDA"/>
    <w:rsid w:val="1FA63478"/>
    <w:rsid w:val="1FB97650"/>
    <w:rsid w:val="1FC6014C"/>
    <w:rsid w:val="1FD75D28"/>
    <w:rsid w:val="20020FF7"/>
    <w:rsid w:val="200563F1"/>
    <w:rsid w:val="200F54C2"/>
    <w:rsid w:val="20174376"/>
    <w:rsid w:val="202A004E"/>
    <w:rsid w:val="204368A7"/>
    <w:rsid w:val="204F58BE"/>
    <w:rsid w:val="205A0CA7"/>
    <w:rsid w:val="2063580D"/>
    <w:rsid w:val="206C1CBE"/>
    <w:rsid w:val="207277FE"/>
    <w:rsid w:val="207D242B"/>
    <w:rsid w:val="20931C4F"/>
    <w:rsid w:val="20CF3A8B"/>
    <w:rsid w:val="20DD097D"/>
    <w:rsid w:val="20DD111C"/>
    <w:rsid w:val="20DE6C42"/>
    <w:rsid w:val="20E24984"/>
    <w:rsid w:val="20E274DA"/>
    <w:rsid w:val="210E5779"/>
    <w:rsid w:val="21105479"/>
    <w:rsid w:val="212B632B"/>
    <w:rsid w:val="215238B8"/>
    <w:rsid w:val="219537A4"/>
    <w:rsid w:val="21DC2ED9"/>
    <w:rsid w:val="21EB6157"/>
    <w:rsid w:val="220B4B15"/>
    <w:rsid w:val="22421461"/>
    <w:rsid w:val="224449A1"/>
    <w:rsid w:val="224F6049"/>
    <w:rsid w:val="22550DF8"/>
    <w:rsid w:val="22552996"/>
    <w:rsid w:val="227E248B"/>
    <w:rsid w:val="22A85BB1"/>
    <w:rsid w:val="22C41605"/>
    <w:rsid w:val="22C96F1D"/>
    <w:rsid w:val="22CF1D97"/>
    <w:rsid w:val="22E45F44"/>
    <w:rsid w:val="22FA4207"/>
    <w:rsid w:val="23276EA0"/>
    <w:rsid w:val="232A5E9B"/>
    <w:rsid w:val="23360FB7"/>
    <w:rsid w:val="23451001"/>
    <w:rsid w:val="23584C30"/>
    <w:rsid w:val="23721DF1"/>
    <w:rsid w:val="23734DF0"/>
    <w:rsid w:val="238166D6"/>
    <w:rsid w:val="2396005F"/>
    <w:rsid w:val="239F090A"/>
    <w:rsid w:val="23AD5D6A"/>
    <w:rsid w:val="23C16AD3"/>
    <w:rsid w:val="23C32345"/>
    <w:rsid w:val="23DF24EC"/>
    <w:rsid w:val="23E627D5"/>
    <w:rsid w:val="23EB453A"/>
    <w:rsid w:val="23F37D36"/>
    <w:rsid w:val="24091012"/>
    <w:rsid w:val="24092228"/>
    <w:rsid w:val="2432352D"/>
    <w:rsid w:val="243C7022"/>
    <w:rsid w:val="24433FC0"/>
    <w:rsid w:val="245009B2"/>
    <w:rsid w:val="24594C20"/>
    <w:rsid w:val="245C65E8"/>
    <w:rsid w:val="2462408A"/>
    <w:rsid w:val="246C6786"/>
    <w:rsid w:val="24A5429E"/>
    <w:rsid w:val="24A75B2E"/>
    <w:rsid w:val="24A8310A"/>
    <w:rsid w:val="24AD02FB"/>
    <w:rsid w:val="24B14A17"/>
    <w:rsid w:val="24BD0A2C"/>
    <w:rsid w:val="24BD373E"/>
    <w:rsid w:val="24BE7181"/>
    <w:rsid w:val="24C06D8A"/>
    <w:rsid w:val="24C84471"/>
    <w:rsid w:val="24E41CD1"/>
    <w:rsid w:val="24E52C95"/>
    <w:rsid w:val="24F95605"/>
    <w:rsid w:val="2500362B"/>
    <w:rsid w:val="251371F0"/>
    <w:rsid w:val="251C32F0"/>
    <w:rsid w:val="253D662D"/>
    <w:rsid w:val="25757B75"/>
    <w:rsid w:val="257A33DD"/>
    <w:rsid w:val="258204E4"/>
    <w:rsid w:val="258F10D1"/>
    <w:rsid w:val="25976D26"/>
    <w:rsid w:val="25E70642"/>
    <w:rsid w:val="25FC2044"/>
    <w:rsid w:val="25FF1B48"/>
    <w:rsid w:val="26223B1B"/>
    <w:rsid w:val="262E04D9"/>
    <w:rsid w:val="265754CC"/>
    <w:rsid w:val="267369B2"/>
    <w:rsid w:val="26775B6F"/>
    <w:rsid w:val="26827F18"/>
    <w:rsid w:val="26A30712"/>
    <w:rsid w:val="26AB2BB4"/>
    <w:rsid w:val="26AC3A6A"/>
    <w:rsid w:val="26B50445"/>
    <w:rsid w:val="26C6672D"/>
    <w:rsid w:val="26D703BB"/>
    <w:rsid w:val="26DE64E1"/>
    <w:rsid w:val="26E054C2"/>
    <w:rsid w:val="26FE3B9A"/>
    <w:rsid w:val="26FE5ADC"/>
    <w:rsid w:val="27055676"/>
    <w:rsid w:val="271350BA"/>
    <w:rsid w:val="27280C17"/>
    <w:rsid w:val="27295BCD"/>
    <w:rsid w:val="273656BF"/>
    <w:rsid w:val="27455C6D"/>
    <w:rsid w:val="275D4D64"/>
    <w:rsid w:val="276205CD"/>
    <w:rsid w:val="27644345"/>
    <w:rsid w:val="27761607"/>
    <w:rsid w:val="277D5407"/>
    <w:rsid w:val="277E52D7"/>
    <w:rsid w:val="27807888"/>
    <w:rsid w:val="27914A0E"/>
    <w:rsid w:val="27A04C51"/>
    <w:rsid w:val="27B12B0B"/>
    <w:rsid w:val="27B32FEC"/>
    <w:rsid w:val="27B60CC3"/>
    <w:rsid w:val="27BB5B99"/>
    <w:rsid w:val="27C13545"/>
    <w:rsid w:val="27C55379"/>
    <w:rsid w:val="27CA712B"/>
    <w:rsid w:val="27FC457D"/>
    <w:rsid w:val="281B3889"/>
    <w:rsid w:val="28467821"/>
    <w:rsid w:val="284E32F6"/>
    <w:rsid w:val="28727C37"/>
    <w:rsid w:val="288F1F03"/>
    <w:rsid w:val="289735C3"/>
    <w:rsid w:val="28B11127"/>
    <w:rsid w:val="28D26420"/>
    <w:rsid w:val="28D70B46"/>
    <w:rsid w:val="28DD71BF"/>
    <w:rsid w:val="28E9232B"/>
    <w:rsid w:val="28EC5AC0"/>
    <w:rsid w:val="28F06B44"/>
    <w:rsid w:val="29235B3A"/>
    <w:rsid w:val="29332D86"/>
    <w:rsid w:val="293E7C9D"/>
    <w:rsid w:val="2948584E"/>
    <w:rsid w:val="296D5007"/>
    <w:rsid w:val="29791BFE"/>
    <w:rsid w:val="29A07DD5"/>
    <w:rsid w:val="29B726F0"/>
    <w:rsid w:val="29BB3FC4"/>
    <w:rsid w:val="29C7330B"/>
    <w:rsid w:val="29CF181E"/>
    <w:rsid w:val="29D55086"/>
    <w:rsid w:val="29F27C93"/>
    <w:rsid w:val="2A2614BF"/>
    <w:rsid w:val="2A2A4058"/>
    <w:rsid w:val="2A3A7D8C"/>
    <w:rsid w:val="2A3D6ACA"/>
    <w:rsid w:val="2A4D0B0D"/>
    <w:rsid w:val="2A7008AA"/>
    <w:rsid w:val="2A7521A1"/>
    <w:rsid w:val="2AB3306A"/>
    <w:rsid w:val="2AC65476"/>
    <w:rsid w:val="2AE023C0"/>
    <w:rsid w:val="2AE10F67"/>
    <w:rsid w:val="2AF13EF9"/>
    <w:rsid w:val="2B0C45BC"/>
    <w:rsid w:val="2B1319D6"/>
    <w:rsid w:val="2B161A0E"/>
    <w:rsid w:val="2B165956"/>
    <w:rsid w:val="2B223422"/>
    <w:rsid w:val="2B560448"/>
    <w:rsid w:val="2B597F39"/>
    <w:rsid w:val="2B6510BB"/>
    <w:rsid w:val="2B77216D"/>
    <w:rsid w:val="2B8D4633"/>
    <w:rsid w:val="2B9717BF"/>
    <w:rsid w:val="2B982962"/>
    <w:rsid w:val="2BAE2033"/>
    <w:rsid w:val="2BB41737"/>
    <w:rsid w:val="2BC02A7D"/>
    <w:rsid w:val="2BC35D0F"/>
    <w:rsid w:val="2BE35420"/>
    <w:rsid w:val="2BE739FD"/>
    <w:rsid w:val="2BEB54C0"/>
    <w:rsid w:val="2BF82FD7"/>
    <w:rsid w:val="2C002162"/>
    <w:rsid w:val="2C210A56"/>
    <w:rsid w:val="2C4209CD"/>
    <w:rsid w:val="2C5B56F1"/>
    <w:rsid w:val="2C6170A5"/>
    <w:rsid w:val="2C730B86"/>
    <w:rsid w:val="2C804AD7"/>
    <w:rsid w:val="2C8B3408"/>
    <w:rsid w:val="2C8E776E"/>
    <w:rsid w:val="2CA376BD"/>
    <w:rsid w:val="2CA40196"/>
    <w:rsid w:val="2CAB47C4"/>
    <w:rsid w:val="2CC808CC"/>
    <w:rsid w:val="2CC9787F"/>
    <w:rsid w:val="2CF72792"/>
    <w:rsid w:val="2D0730F8"/>
    <w:rsid w:val="2D144117"/>
    <w:rsid w:val="2D1A65ED"/>
    <w:rsid w:val="2D236108"/>
    <w:rsid w:val="2D242128"/>
    <w:rsid w:val="2D2C76B3"/>
    <w:rsid w:val="2D3622E0"/>
    <w:rsid w:val="2D64317E"/>
    <w:rsid w:val="2D661D22"/>
    <w:rsid w:val="2D670636"/>
    <w:rsid w:val="2D6E3D0B"/>
    <w:rsid w:val="2D7244C4"/>
    <w:rsid w:val="2D7828F8"/>
    <w:rsid w:val="2D7B23E8"/>
    <w:rsid w:val="2D8477E3"/>
    <w:rsid w:val="2D880661"/>
    <w:rsid w:val="2D917516"/>
    <w:rsid w:val="2D975DB5"/>
    <w:rsid w:val="2DAB5DC6"/>
    <w:rsid w:val="2DAE4BCF"/>
    <w:rsid w:val="2DC72F38"/>
    <w:rsid w:val="2DC93BFB"/>
    <w:rsid w:val="2DCB3B18"/>
    <w:rsid w:val="2DCC12EA"/>
    <w:rsid w:val="2DD1025A"/>
    <w:rsid w:val="2DE24215"/>
    <w:rsid w:val="2DE81100"/>
    <w:rsid w:val="2DE823B2"/>
    <w:rsid w:val="2DF67CC1"/>
    <w:rsid w:val="2DF7475D"/>
    <w:rsid w:val="2DF81343"/>
    <w:rsid w:val="2E04418C"/>
    <w:rsid w:val="2E0E5FB4"/>
    <w:rsid w:val="2E112083"/>
    <w:rsid w:val="2E134C2C"/>
    <w:rsid w:val="2E183793"/>
    <w:rsid w:val="2E200FD9"/>
    <w:rsid w:val="2E3158DF"/>
    <w:rsid w:val="2E3846AD"/>
    <w:rsid w:val="2E3B36EC"/>
    <w:rsid w:val="2E3F2520"/>
    <w:rsid w:val="2E5A3DAC"/>
    <w:rsid w:val="2E633A38"/>
    <w:rsid w:val="2E73132F"/>
    <w:rsid w:val="2E7449FC"/>
    <w:rsid w:val="2E8D23D3"/>
    <w:rsid w:val="2E975000"/>
    <w:rsid w:val="2E9F3EB4"/>
    <w:rsid w:val="2EA329DD"/>
    <w:rsid w:val="2EA8720D"/>
    <w:rsid w:val="2ED964C1"/>
    <w:rsid w:val="2EDA313F"/>
    <w:rsid w:val="2EFE0BDB"/>
    <w:rsid w:val="2F1B74E0"/>
    <w:rsid w:val="2F1F515E"/>
    <w:rsid w:val="2F300FB0"/>
    <w:rsid w:val="2F36237D"/>
    <w:rsid w:val="2F3960B7"/>
    <w:rsid w:val="2F4F24DA"/>
    <w:rsid w:val="2F505D05"/>
    <w:rsid w:val="2F662C24"/>
    <w:rsid w:val="2F6731F7"/>
    <w:rsid w:val="2F74526F"/>
    <w:rsid w:val="2F745AFB"/>
    <w:rsid w:val="2F7B4FA2"/>
    <w:rsid w:val="2F7D6EF5"/>
    <w:rsid w:val="2F917C4D"/>
    <w:rsid w:val="2F9B47BA"/>
    <w:rsid w:val="2FA03ADC"/>
    <w:rsid w:val="2FB15C4D"/>
    <w:rsid w:val="2FB54349"/>
    <w:rsid w:val="2FB97352"/>
    <w:rsid w:val="2FD858D0"/>
    <w:rsid w:val="2FDA0AB2"/>
    <w:rsid w:val="2FED1556"/>
    <w:rsid w:val="30112B90"/>
    <w:rsid w:val="301222CF"/>
    <w:rsid w:val="30134E82"/>
    <w:rsid w:val="30225133"/>
    <w:rsid w:val="30291525"/>
    <w:rsid w:val="30467908"/>
    <w:rsid w:val="30564A47"/>
    <w:rsid w:val="305F7D9F"/>
    <w:rsid w:val="30647164"/>
    <w:rsid w:val="307126F1"/>
    <w:rsid w:val="307B509E"/>
    <w:rsid w:val="307E380A"/>
    <w:rsid w:val="30806116"/>
    <w:rsid w:val="308F408F"/>
    <w:rsid w:val="30A04ED5"/>
    <w:rsid w:val="30E2736E"/>
    <w:rsid w:val="30E6401D"/>
    <w:rsid w:val="30EE1123"/>
    <w:rsid w:val="30FA7AC8"/>
    <w:rsid w:val="310570DC"/>
    <w:rsid w:val="310A77EA"/>
    <w:rsid w:val="311928AD"/>
    <w:rsid w:val="31244B45"/>
    <w:rsid w:val="312608BD"/>
    <w:rsid w:val="31300370"/>
    <w:rsid w:val="31532D34"/>
    <w:rsid w:val="315417CE"/>
    <w:rsid w:val="31570A76"/>
    <w:rsid w:val="31701B38"/>
    <w:rsid w:val="31774C75"/>
    <w:rsid w:val="31805AB5"/>
    <w:rsid w:val="318C1582"/>
    <w:rsid w:val="31914B2F"/>
    <w:rsid w:val="319412B0"/>
    <w:rsid w:val="31945827"/>
    <w:rsid w:val="319B5904"/>
    <w:rsid w:val="31AF440F"/>
    <w:rsid w:val="31B810E0"/>
    <w:rsid w:val="31BB7257"/>
    <w:rsid w:val="31C6078C"/>
    <w:rsid w:val="31D245A1"/>
    <w:rsid w:val="31D47A8A"/>
    <w:rsid w:val="31D8163C"/>
    <w:rsid w:val="31EB2691"/>
    <w:rsid w:val="32007E06"/>
    <w:rsid w:val="32140715"/>
    <w:rsid w:val="3219731D"/>
    <w:rsid w:val="321E3342"/>
    <w:rsid w:val="322250B9"/>
    <w:rsid w:val="32273586"/>
    <w:rsid w:val="32452FC5"/>
    <w:rsid w:val="3268530F"/>
    <w:rsid w:val="3268609C"/>
    <w:rsid w:val="32715B68"/>
    <w:rsid w:val="32851613"/>
    <w:rsid w:val="32994D52"/>
    <w:rsid w:val="32E12CEE"/>
    <w:rsid w:val="32F14738"/>
    <w:rsid w:val="32F845AD"/>
    <w:rsid w:val="32FA3DAF"/>
    <w:rsid w:val="33050FE6"/>
    <w:rsid w:val="3307027A"/>
    <w:rsid w:val="331035D3"/>
    <w:rsid w:val="33114C55"/>
    <w:rsid w:val="331C1F78"/>
    <w:rsid w:val="33227530"/>
    <w:rsid w:val="33380434"/>
    <w:rsid w:val="33512ED6"/>
    <w:rsid w:val="33541711"/>
    <w:rsid w:val="3368715B"/>
    <w:rsid w:val="336D7728"/>
    <w:rsid w:val="33857B1D"/>
    <w:rsid w:val="33C63C91"/>
    <w:rsid w:val="33C76902"/>
    <w:rsid w:val="33CD5020"/>
    <w:rsid w:val="33D4015C"/>
    <w:rsid w:val="33DB5E7A"/>
    <w:rsid w:val="33E34843"/>
    <w:rsid w:val="33EC67CB"/>
    <w:rsid w:val="340116DE"/>
    <w:rsid w:val="34060532"/>
    <w:rsid w:val="340D2919"/>
    <w:rsid w:val="340E3613"/>
    <w:rsid w:val="3413544A"/>
    <w:rsid w:val="341423B6"/>
    <w:rsid w:val="341C26F7"/>
    <w:rsid w:val="3426118D"/>
    <w:rsid w:val="342A3395"/>
    <w:rsid w:val="34433534"/>
    <w:rsid w:val="346838BF"/>
    <w:rsid w:val="3492354A"/>
    <w:rsid w:val="349D0BDD"/>
    <w:rsid w:val="34A932D5"/>
    <w:rsid w:val="34AB7AA7"/>
    <w:rsid w:val="34B8182C"/>
    <w:rsid w:val="34CE045C"/>
    <w:rsid w:val="34D128EE"/>
    <w:rsid w:val="350420A0"/>
    <w:rsid w:val="350B7327"/>
    <w:rsid w:val="3518042F"/>
    <w:rsid w:val="351C000D"/>
    <w:rsid w:val="352275ED"/>
    <w:rsid w:val="35270760"/>
    <w:rsid w:val="353A0143"/>
    <w:rsid w:val="35401559"/>
    <w:rsid w:val="35421694"/>
    <w:rsid w:val="35492DCC"/>
    <w:rsid w:val="354C061A"/>
    <w:rsid w:val="35524A11"/>
    <w:rsid w:val="356579BA"/>
    <w:rsid w:val="3568190D"/>
    <w:rsid w:val="357861EF"/>
    <w:rsid w:val="35792B4A"/>
    <w:rsid w:val="357C0A22"/>
    <w:rsid w:val="35941D23"/>
    <w:rsid w:val="359E3147"/>
    <w:rsid w:val="35AE4A19"/>
    <w:rsid w:val="35B80AA0"/>
    <w:rsid w:val="35E30B2B"/>
    <w:rsid w:val="36010FB1"/>
    <w:rsid w:val="360277C7"/>
    <w:rsid w:val="36075066"/>
    <w:rsid w:val="3608502D"/>
    <w:rsid w:val="360F1920"/>
    <w:rsid w:val="361433DA"/>
    <w:rsid w:val="36155A91"/>
    <w:rsid w:val="36217CD5"/>
    <w:rsid w:val="36267B40"/>
    <w:rsid w:val="3631038E"/>
    <w:rsid w:val="36401AD9"/>
    <w:rsid w:val="364376B0"/>
    <w:rsid w:val="36484328"/>
    <w:rsid w:val="364A2958"/>
    <w:rsid w:val="36527A5E"/>
    <w:rsid w:val="36653C36"/>
    <w:rsid w:val="366967ED"/>
    <w:rsid w:val="366C0B20"/>
    <w:rsid w:val="36750CC7"/>
    <w:rsid w:val="367D0F7F"/>
    <w:rsid w:val="368508BD"/>
    <w:rsid w:val="368D390B"/>
    <w:rsid w:val="36A302BA"/>
    <w:rsid w:val="36BB1AA7"/>
    <w:rsid w:val="36BE6F45"/>
    <w:rsid w:val="36C46BAE"/>
    <w:rsid w:val="36EC0F65"/>
    <w:rsid w:val="36EE7787"/>
    <w:rsid w:val="36F54FB9"/>
    <w:rsid w:val="36FF7BE6"/>
    <w:rsid w:val="371A67CE"/>
    <w:rsid w:val="37245215"/>
    <w:rsid w:val="372D2177"/>
    <w:rsid w:val="37403D5B"/>
    <w:rsid w:val="374E0206"/>
    <w:rsid w:val="375B21C6"/>
    <w:rsid w:val="377562DE"/>
    <w:rsid w:val="37867FCF"/>
    <w:rsid w:val="37997307"/>
    <w:rsid w:val="37A43437"/>
    <w:rsid w:val="37B24C58"/>
    <w:rsid w:val="37BF30FF"/>
    <w:rsid w:val="37CF580A"/>
    <w:rsid w:val="37D1126E"/>
    <w:rsid w:val="37D31D5E"/>
    <w:rsid w:val="37DB6193"/>
    <w:rsid w:val="3801173C"/>
    <w:rsid w:val="381A45AC"/>
    <w:rsid w:val="38351B40"/>
    <w:rsid w:val="38402264"/>
    <w:rsid w:val="38521929"/>
    <w:rsid w:val="386006F2"/>
    <w:rsid w:val="388A7838"/>
    <w:rsid w:val="38935238"/>
    <w:rsid w:val="38AA60AE"/>
    <w:rsid w:val="38C52941"/>
    <w:rsid w:val="38D26C34"/>
    <w:rsid w:val="38D31D51"/>
    <w:rsid w:val="38DB3D3B"/>
    <w:rsid w:val="38DE1A7D"/>
    <w:rsid w:val="38EF77E6"/>
    <w:rsid w:val="391079F7"/>
    <w:rsid w:val="392B2595"/>
    <w:rsid w:val="39317DFF"/>
    <w:rsid w:val="39365415"/>
    <w:rsid w:val="39495149"/>
    <w:rsid w:val="39643D30"/>
    <w:rsid w:val="39704948"/>
    <w:rsid w:val="39755F3E"/>
    <w:rsid w:val="39785A2E"/>
    <w:rsid w:val="397A3554"/>
    <w:rsid w:val="399067B2"/>
    <w:rsid w:val="39AD2384"/>
    <w:rsid w:val="39C46EC5"/>
    <w:rsid w:val="39E22EB8"/>
    <w:rsid w:val="39F23A32"/>
    <w:rsid w:val="39F92BBE"/>
    <w:rsid w:val="39F95C91"/>
    <w:rsid w:val="39FE4185"/>
    <w:rsid w:val="39FF3A59"/>
    <w:rsid w:val="3A15642C"/>
    <w:rsid w:val="3A2A623E"/>
    <w:rsid w:val="3A3556CD"/>
    <w:rsid w:val="3A405562"/>
    <w:rsid w:val="3A5C0EAC"/>
    <w:rsid w:val="3A5C70FE"/>
    <w:rsid w:val="3A6A5F9E"/>
    <w:rsid w:val="3A762AB9"/>
    <w:rsid w:val="3A857C80"/>
    <w:rsid w:val="3A8D375B"/>
    <w:rsid w:val="3A9C399E"/>
    <w:rsid w:val="3A9C74FA"/>
    <w:rsid w:val="3AA35841"/>
    <w:rsid w:val="3AA64E69"/>
    <w:rsid w:val="3AE710BD"/>
    <w:rsid w:val="3AED5F33"/>
    <w:rsid w:val="3AF50263"/>
    <w:rsid w:val="3B011405"/>
    <w:rsid w:val="3B0A0908"/>
    <w:rsid w:val="3B0A0DAD"/>
    <w:rsid w:val="3B1A0C17"/>
    <w:rsid w:val="3B2A3F8E"/>
    <w:rsid w:val="3B2C6AD0"/>
    <w:rsid w:val="3B4E2EEA"/>
    <w:rsid w:val="3B5C3FE6"/>
    <w:rsid w:val="3B6224F2"/>
    <w:rsid w:val="3B765F9D"/>
    <w:rsid w:val="3B894744"/>
    <w:rsid w:val="3B920836"/>
    <w:rsid w:val="3BBA1B2D"/>
    <w:rsid w:val="3BD056AD"/>
    <w:rsid w:val="3BD16FB8"/>
    <w:rsid w:val="3BE61375"/>
    <w:rsid w:val="3BE744EC"/>
    <w:rsid w:val="3BFF7230"/>
    <w:rsid w:val="3C026E8F"/>
    <w:rsid w:val="3C13510B"/>
    <w:rsid w:val="3C1F267C"/>
    <w:rsid w:val="3C244220"/>
    <w:rsid w:val="3C2D2B00"/>
    <w:rsid w:val="3C3F5A5E"/>
    <w:rsid w:val="3C4D6CFE"/>
    <w:rsid w:val="3C771DDE"/>
    <w:rsid w:val="3C7F08D9"/>
    <w:rsid w:val="3C81109D"/>
    <w:rsid w:val="3C811ABC"/>
    <w:rsid w:val="3C814910"/>
    <w:rsid w:val="3C8508C0"/>
    <w:rsid w:val="3C966FFC"/>
    <w:rsid w:val="3C9B215F"/>
    <w:rsid w:val="3CAE5FD1"/>
    <w:rsid w:val="3CB604B3"/>
    <w:rsid w:val="3CB7061B"/>
    <w:rsid w:val="3CBB635D"/>
    <w:rsid w:val="3CBE5F5A"/>
    <w:rsid w:val="3CC34A25"/>
    <w:rsid w:val="3CC60AEE"/>
    <w:rsid w:val="3CCA65A0"/>
    <w:rsid w:val="3CDB5C3F"/>
    <w:rsid w:val="3CDC4526"/>
    <w:rsid w:val="3CE505BC"/>
    <w:rsid w:val="3CE533DA"/>
    <w:rsid w:val="3CED6733"/>
    <w:rsid w:val="3CEE4A05"/>
    <w:rsid w:val="3CF46530"/>
    <w:rsid w:val="3D2427C1"/>
    <w:rsid w:val="3D2C725B"/>
    <w:rsid w:val="3D393726"/>
    <w:rsid w:val="3D7D1865"/>
    <w:rsid w:val="3D9B7F3D"/>
    <w:rsid w:val="3DB82087"/>
    <w:rsid w:val="3DD4070D"/>
    <w:rsid w:val="3DD5344F"/>
    <w:rsid w:val="3DD53583"/>
    <w:rsid w:val="3DD84CED"/>
    <w:rsid w:val="3E5841A9"/>
    <w:rsid w:val="3E5A63AB"/>
    <w:rsid w:val="3E8E35FE"/>
    <w:rsid w:val="3EAB2402"/>
    <w:rsid w:val="3EAE75E5"/>
    <w:rsid w:val="3EB201B0"/>
    <w:rsid w:val="3ED90D1D"/>
    <w:rsid w:val="3EEB27FE"/>
    <w:rsid w:val="3EF6201A"/>
    <w:rsid w:val="3F2E7B74"/>
    <w:rsid w:val="3F4309D7"/>
    <w:rsid w:val="3F47212A"/>
    <w:rsid w:val="3F5B0661"/>
    <w:rsid w:val="3F5C7A20"/>
    <w:rsid w:val="3F731171"/>
    <w:rsid w:val="3F80563C"/>
    <w:rsid w:val="3F83407D"/>
    <w:rsid w:val="3F8844F1"/>
    <w:rsid w:val="3F8F587F"/>
    <w:rsid w:val="3FB03AE9"/>
    <w:rsid w:val="3FD553F5"/>
    <w:rsid w:val="3FDD1C18"/>
    <w:rsid w:val="3FF81676"/>
    <w:rsid w:val="4013025E"/>
    <w:rsid w:val="402D185C"/>
    <w:rsid w:val="403501D5"/>
    <w:rsid w:val="40363505"/>
    <w:rsid w:val="40371B15"/>
    <w:rsid w:val="40436D96"/>
    <w:rsid w:val="405E5685"/>
    <w:rsid w:val="406311E6"/>
    <w:rsid w:val="408B2E20"/>
    <w:rsid w:val="40E65C53"/>
    <w:rsid w:val="40EC2905"/>
    <w:rsid w:val="40F2351F"/>
    <w:rsid w:val="40F41E3E"/>
    <w:rsid w:val="40F655CB"/>
    <w:rsid w:val="40FF07E3"/>
    <w:rsid w:val="41202C33"/>
    <w:rsid w:val="41232723"/>
    <w:rsid w:val="413466DE"/>
    <w:rsid w:val="413606A8"/>
    <w:rsid w:val="41451B89"/>
    <w:rsid w:val="414D2743"/>
    <w:rsid w:val="41504B80"/>
    <w:rsid w:val="41561F75"/>
    <w:rsid w:val="41670B1B"/>
    <w:rsid w:val="41750C2C"/>
    <w:rsid w:val="41896ABD"/>
    <w:rsid w:val="41A01FC6"/>
    <w:rsid w:val="41A73354"/>
    <w:rsid w:val="41AC3749"/>
    <w:rsid w:val="41B3295A"/>
    <w:rsid w:val="41B96BE3"/>
    <w:rsid w:val="41C3426E"/>
    <w:rsid w:val="41E50F2A"/>
    <w:rsid w:val="41E53E7C"/>
    <w:rsid w:val="41F474FD"/>
    <w:rsid w:val="41FC25CD"/>
    <w:rsid w:val="41FD67FA"/>
    <w:rsid w:val="42075BA1"/>
    <w:rsid w:val="420E33D3"/>
    <w:rsid w:val="42164036"/>
    <w:rsid w:val="42367989"/>
    <w:rsid w:val="423F358D"/>
    <w:rsid w:val="425E2DF2"/>
    <w:rsid w:val="429769E2"/>
    <w:rsid w:val="429D02B3"/>
    <w:rsid w:val="42A56FF9"/>
    <w:rsid w:val="42B31885"/>
    <w:rsid w:val="42B9333F"/>
    <w:rsid w:val="42BB1B2E"/>
    <w:rsid w:val="42C71C00"/>
    <w:rsid w:val="42C817D4"/>
    <w:rsid w:val="42CC6F80"/>
    <w:rsid w:val="42DA32B5"/>
    <w:rsid w:val="42E47C90"/>
    <w:rsid w:val="42EF518C"/>
    <w:rsid w:val="42F1180C"/>
    <w:rsid w:val="42F27D84"/>
    <w:rsid w:val="433F4264"/>
    <w:rsid w:val="43432C09"/>
    <w:rsid w:val="4348021F"/>
    <w:rsid w:val="434B7D0F"/>
    <w:rsid w:val="436112E1"/>
    <w:rsid w:val="43745193"/>
    <w:rsid w:val="43943464"/>
    <w:rsid w:val="439455D5"/>
    <w:rsid w:val="43A030A8"/>
    <w:rsid w:val="43B91888"/>
    <w:rsid w:val="43B91DAA"/>
    <w:rsid w:val="43CB6B91"/>
    <w:rsid w:val="43D23F8D"/>
    <w:rsid w:val="440B718A"/>
    <w:rsid w:val="441237C0"/>
    <w:rsid w:val="44183681"/>
    <w:rsid w:val="442B6778"/>
    <w:rsid w:val="44557097"/>
    <w:rsid w:val="445B21D4"/>
    <w:rsid w:val="44801443"/>
    <w:rsid w:val="448259B3"/>
    <w:rsid w:val="44867816"/>
    <w:rsid w:val="4496003E"/>
    <w:rsid w:val="44A23E29"/>
    <w:rsid w:val="44A771C7"/>
    <w:rsid w:val="44B14E8B"/>
    <w:rsid w:val="44B26298"/>
    <w:rsid w:val="44CB735A"/>
    <w:rsid w:val="44CE5EA8"/>
    <w:rsid w:val="44DE708D"/>
    <w:rsid w:val="44FF0DB1"/>
    <w:rsid w:val="45041480"/>
    <w:rsid w:val="450B0FB3"/>
    <w:rsid w:val="452B3EAE"/>
    <w:rsid w:val="454A79BC"/>
    <w:rsid w:val="454B3FF6"/>
    <w:rsid w:val="456C24E3"/>
    <w:rsid w:val="45780834"/>
    <w:rsid w:val="457D6AC5"/>
    <w:rsid w:val="4582193B"/>
    <w:rsid w:val="459040FF"/>
    <w:rsid w:val="45961716"/>
    <w:rsid w:val="45992FB4"/>
    <w:rsid w:val="459F6413"/>
    <w:rsid w:val="45B95DC5"/>
    <w:rsid w:val="45BB73CE"/>
    <w:rsid w:val="45BD6059"/>
    <w:rsid w:val="45CF2E79"/>
    <w:rsid w:val="45F2762F"/>
    <w:rsid w:val="45F9057E"/>
    <w:rsid w:val="45FE6C26"/>
    <w:rsid w:val="460A5E25"/>
    <w:rsid w:val="4614088C"/>
    <w:rsid w:val="46184218"/>
    <w:rsid w:val="461D5993"/>
    <w:rsid w:val="4638133D"/>
    <w:rsid w:val="4641493A"/>
    <w:rsid w:val="4642189D"/>
    <w:rsid w:val="46426453"/>
    <w:rsid w:val="4643102C"/>
    <w:rsid w:val="464459AD"/>
    <w:rsid w:val="464A3A20"/>
    <w:rsid w:val="464B5FF6"/>
    <w:rsid w:val="464E5EA9"/>
    <w:rsid w:val="465A5B70"/>
    <w:rsid w:val="467919BF"/>
    <w:rsid w:val="46A165C4"/>
    <w:rsid w:val="46BE1C8A"/>
    <w:rsid w:val="46D67C01"/>
    <w:rsid w:val="46E5009B"/>
    <w:rsid w:val="46F00A25"/>
    <w:rsid w:val="46FA5CD4"/>
    <w:rsid w:val="470503FC"/>
    <w:rsid w:val="47086643"/>
    <w:rsid w:val="471A61AD"/>
    <w:rsid w:val="47822D41"/>
    <w:rsid w:val="47AA730D"/>
    <w:rsid w:val="47AF4671"/>
    <w:rsid w:val="47B16CD9"/>
    <w:rsid w:val="47C36A0E"/>
    <w:rsid w:val="47DD7C5F"/>
    <w:rsid w:val="47F52AC5"/>
    <w:rsid w:val="47FA3EF2"/>
    <w:rsid w:val="47FB44C2"/>
    <w:rsid w:val="48030BB8"/>
    <w:rsid w:val="48223A6E"/>
    <w:rsid w:val="48272AF9"/>
    <w:rsid w:val="48316C8C"/>
    <w:rsid w:val="4832149E"/>
    <w:rsid w:val="48457423"/>
    <w:rsid w:val="484B629B"/>
    <w:rsid w:val="48587D71"/>
    <w:rsid w:val="48632362"/>
    <w:rsid w:val="48771AB1"/>
    <w:rsid w:val="489D100D"/>
    <w:rsid w:val="48A14B56"/>
    <w:rsid w:val="48B534D6"/>
    <w:rsid w:val="48BF0F83"/>
    <w:rsid w:val="48E72288"/>
    <w:rsid w:val="48E7672C"/>
    <w:rsid w:val="48FD5F50"/>
    <w:rsid w:val="490476C6"/>
    <w:rsid w:val="49101BBE"/>
    <w:rsid w:val="492E5CC8"/>
    <w:rsid w:val="492E7EB7"/>
    <w:rsid w:val="49463453"/>
    <w:rsid w:val="49723C7E"/>
    <w:rsid w:val="49731BD9"/>
    <w:rsid w:val="497B0061"/>
    <w:rsid w:val="497F0713"/>
    <w:rsid w:val="49B460AF"/>
    <w:rsid w:val="49B72B37"/>
    <w:rsid w:val="49C04002"/>
    <w:rsid w:val="49C92186"/>
    <w:rsid w:val="49CD147E"/>
    <w:rsid w:val="49CE4AEC"/>
    <w:rsid w:val="49DF5457"/>
    <w:rsid w:val="49E7505B"/>
    <w:rsid w:val="49EB7CD2"/>
    <w:rsid w:val="49F30D56"/>
    <w:rsid w:val="49F64E79"/>
    <w:rsid w:val="49FA23F9"/>
    <w:rsid w:val="4A0D21C2"/>
    <w:rsid w:val="4A143551"/>
    <w:rsid w:val="4A1A03A3"/>
    <w:rsid w:val="4A631F37"/>
    <w:rsid w:val="4A6428C2"/>
    <w:rsid w:val="4A6746A6"/>
    <w:rsid w:val="4A722025"/>
    <w:rsid w:val="4A791606"/>
    <w:rsid w:val="4A835FE1"/>
    <w:rsid w:val="4A8835F7"/>
    <w:rsid w:val="4A8D1D4A"/>
    <w:rsid w:val="4A914BA3"/>
    <w:rsid w:val="4A9D4120"/>
    <w:rsid w:val="4AA07DD6"/>
    <w:rsid w:val="4AC235F0"/>
    <w:rsid w:val="4ACC3E2B"/>
    <w:rsid w:val="4AD131F0"/>
    <w:rsid w:val="4ADB5E1D"/>
    <w:rsid w:val="4AE33BE2"/>
    <w:rsid w:val="4AF12D79"/>
    <w:rsid w:val="4B0709C0"/>
    <w:rsid w:val="4B0C4228"/>
    <w:rsid w:val="4B106704"/>
    <w:rsid w:val="4B19324D"/>
    <w:rsid w:val="4B1D4687"/>
    <w:rsid w:val="4B256EF9"/>
    <w:rsid w:val="4B303DCA"/>
    <w:rsid w:val="4B4A5F4D"/>
    <w:rsid w:val="4B5D6832"/>
    <w:rsid w:val="4B5F07FC"/>
    <w:rsid w:val="4B671D01"/>
    <w:rsid w:val="4B694A19"/>
    <w:rsid w:val="4B6971DC"/>
    <w:rsid w:val="4B6978CC"/>
    <w:rsid w:val="4B797B0F"/>
    <w:rsid w:val="4B80769F"/>
    <w:rsid w:val="4B892032"/>
    <w:rsid w:val="4BDA4326"/>
    <w:rsid w:val="4BF21670"/>
    <w:rsid w:val="4C043151"/>
    <w:rsid w:val="4C107D48"/>
    <w:rsid w:val="4C174804"/>
    <w:rsid w:val="4C183069"/>
    <w:rsid w:val="4C3C0B3D"/>
    <w:rsid w:val="4C52500F"/>
    <w:rsid w:val="4C6753F2"/>
    <w:rsid w:val="4C746529"/>
    <w:rsid w:val="4C793B3F"/>
    <w:rsid w:val="4C7D7030"/>
    <w:rsid w:val="4C7E5638"/>
    <w:rsid w:val="4C9B3AB5"/>
    <w:rsid w:val="4CE8518A"/>
    <w:rsid w:val="4D0B0C3B"/>
    <w:rsid w:val="4D2E0486"/>
    <w:rsid w:val="4D467E6E"/>
    <w:rsid w:val="4D676C11"/>
    <w:rsid w:val="4D693051"/>
    <w:rsid w:val="4D941382"/>
    <w:rsid w:val="4D9E754F"/>
    <w:rsid w:val="4DA00C19"/>
    <w:rsid w:val="4DAE4337"/>
    <w:rsid w:val="4DB16DA8"/>
    <w:rsid w:val="4DBF37D4"/>
    <w:rsid w:val="4DC20868"/>
    <w:rsid w:val="4DD82768"/>
    <w:rsid w:val="4DF062B4"/>
    <w:rsid w:val="4DF66196"/>
    <w:rsid w:val="4DFC4A28"/>
    <w:rsid w:val="4DFF194E"/>
    <w:rsid w:val="4E004110"/>
    <w:rsid w:val="4E0062C6"/>
    <w:rsid w:val="4E095D4F"/>
    <w:rsid w:val="4E151645"/>
    <w:rsid w:val="4E386ABE"/>
    <w:rsid w:val="4E5056C3"/>
    <w:rsid w:val="4E5A45FF"/>
    <w:rsid w:val="4E6F6FA8"/>
    <w:rsid w:val="4E725FED"/>
    <w:rsid w:val="4E802F63"/>
    <w:rsid w:val="4E810A89"/>
    <w:rsid w:val="4EAA6232"/>
    <w:rsid w:val="4EB726FD"/>
    <w:rsid w:val="4ECD7197"/>
    <w:rsid w:val="4EF17F96"/>
    <w:rsid w:val="4EF37BD9"/>
    <w:rsid w:val="4F021F88"/>
    <w:rsid w:val="4F036055"/>
    <w:rsid w:val="4F1163D7"/>
    <w:rsid w:val="4F1D07B2"/>
    <w:rsid w:val="4F5F0DCA"/>
    <w:rsid w:val="4F675ED1"/>
    <w:rsid w:val="4F7E2C80"/>
    <w:rsid w:val="4F7F3277"/>
    <w:rsid w:val="4F930465"/>
    <w:rsid w:val="4F93316A"/>
    <w:rsid w:val="4FA25BD4"/>
    <w:rsid w:val="4FAD5FDA"/>
    <w:rsid w:val="4FBA24A4"/>
    <w:rsid w:val="4FC357FD"/>
    <w:rsid w:val="4FC74BC1"/>
    <w:rsid w:val="4FCD52A9"/>
    <w:rsid w:val="4FF84D7B"/>
    <w:rsid w:val="4FFC486B"/>
    <w:rsid w:val="501047BA"/>
    <w:rsid w:val="50237D10"/>
    <w:rsid w:val="50384256"/>
    <w:rsid w:val="50526B81"/>
    <w:rsid w:val="505C6E79"/>
    <w:rsid w:val="506F1AED"/>
    <w:rsid w:val="50762846"/>
    <w:rsid w:val="50AA20F5"/>
    <w:rsid w:val="50AA46D1"/>
    <w:rsid w:val="50AB003F"/>
    <w:rsid w:val="50CF3478"/>
    <w:rsid w:val="50D30D75"/>
    <w:rsid w:val="50D476A7"/>
    <w:rsid w:val="50D94BAC"/>
    <w:rsid w:val="50FC089B"/>
    <w:rsid w:val="50FD543F"/>
    <w:rsid w:val="512F097C"/>
    <w:rsid w:val="51354EAC"/>
    <w:rsid w:val="51471628"/>
    <w:rsid w:val="5153670D"/>
    <w:rsid w:val="517D2AB0"/>
    <w:rsid w:val="5184221D"/>
    <w:rsid w:val="51A520B6"/>
    <w:rsid w:val="51AB3F44"/>
    <w:rsid w:val="51DB105C"/>
    <w:rsid w:val="51E27A91"/>
    <w:rsid w:val="51E8779D"/>
    <w:rsid w:val="51EA5DB2"/>
    <w:rsid w:val="51FF04B1"/>
    <w:rsid w:val="52004BA4"/>
    <w:rsid w:val="52110B25"/>
    <w:rsid w:val="52192B0A"/>
    <w:rsid w:val="5219601D"/>
    <w:rsid w:val="521C7446"/>
    <w:rsid w:val="52484A1A"/>
    <w:rsid w:val="525D31AF"/>
    <w:rsid w:val="525D407D"/>
    <w:rsid w:val="526037D7"/>
    <w:rsid w:val="52604AC2"/>
    <w:rsid w:val="52662470"/>
    <w:rsid w:val="526A6404"/>
    <w:rsid w:val="52720E14"/>
    <w:rsid w:val="527A655C"/>
    <w:rsid w:val="5281374D"/>
    <w:rsid w:val="52817E9B"/>
    <w:rsid w:val="52B633F7"/>
    <w:rsid w:val="52B7395F"/>
    <w:rsid w:val="52B7716F"/>
    <w:rsid w:val="52D4387D"/>
    <w:rsid w:val="52DC7DB4"/>
    <w:rsid w:val="52DE64AA"/>
    <w:rsid w:val="52EA07DF"/>
    <w:rsid w:val="52F77B72"/>
    <w:rsid w:val="530F6FAB"/>
    <w:rsid w:val="5311149D"/>
    <w:rsid w:val="531E71EE"/>
    <w:rsid w:val="533D75E7"/>
    <w:rsid w:val="534A1D91"/>
    <w:rsid w:val="53511372"/>
    <w:rsid w:val="536A2433"/>
    <w:rsid w:val="537A08C9"/>
    <w:rsid w:val="53924A6C"/>
    <w:rsid w:val="53A97F48"/>
    <w:rsid w:val="53C41B44"/>
    <w:rsid w:val="53F5504D"/>
    <w:rsid w:val="54042E5B"/>
    <w:rsid w:val="540B4436"/>
    <w:rsid w:val="54244390"/>
    <w:rsid w:val="542A59D4"/>
    <w:rsid w:val="543A5231"/>
    <w:rsid w:val="544B759C"/>
    <w:rsid w:val="545C1D7C"/>
    <w:rsid w:val="546F6218"/>
    <w:rsid w:val="5473336A"/>
    <w:rsid w:val="54752E3E"/>
    <w:rsid w:val="547950BE"/>
    <w:rsid w:val="548D602D"/>
    <w:rsid w:val="548E64A2"/>
    <w:rsid w:val="549332C4"/>
    <w:rsid w:val="54B420E7"/>
    <w:rsid w:val="54B664DF"/>
    <w:rsid w:val="54BA54C6"/>
    <w:rsid w:val="54C16083"/>
    <w:rsid w:val="54C654D7"/>
    <w:rsid w:val="54CE3AA7"/>
    <w:rsid w:val="54D652CD"/>
    <w:rsid w:val="54DF1C40"/>
    <w:rsid w:val="54FA3343"/>
    <w:rsid w:val="550B72FE"/>
    <w:rsid w:val="550C44EB"/>
    <w:rsid w:val="550D3076"/>
    <w:rsid w:val="551408A9"/>
    <w:rsid w:val="55172147"/>
    <w:rsid w:val="552A59D6"/>
    <w:rsid w:val="55472A2C"/>
    <w:rsid w:val="555506C6"/>
    <w:rsid w:val="55570796"/>
    <w:rsid w:val="55627866"/>
    <w:rsid w:val="55674E7D"/>
    <w:rsid w:val="55A0038E"/>
    <w:rsid w:val="55A41C2D"/>
    <w:rsid w:val="55B055F7"/>
    <w:rsid w:val="55B179A0"/>
    <w:rsid w:val="55BE64BA"/>
    <w:rsid w:val="55D122F6"/>
    <w:rsid w:val="55E30CB3"/>
    <w:rsid w:val="55E97640"/>
    <w:rsid w:val="55ED4383"/>
    <w:rsid w:val="55F71945"/>
    <w:rsid w:val="560D0592"/>
    <w:rsid w:val="56150435"/>
    <w:rsid w:val="56214071"/>
    <w:rsid w:val="56340787"/>
    <w:rsid w:val="5634158D"/>
    <w:rsid w:val="56352885"/>
    <w:rsid w:val="5651115B"/>
    <w:rsid w:val="56535401"/>
    <w:rsid w:val="56617B1E"/>
    <w:rsid w:val="566E5D97"/>
    <w:rsid w:val="567A09AF"/>
    <w:rsid w:val="567A6414"/>
    <w:rsid w:val="5684618F"/>
    <w:rsid w:val="569544FD"/>
    <w:rsid w:val="569C2904"/>
    <w:rsid w:val="56B365F2"/>
    <w:rsid w:val="56BE0ACC"/>
    <w:rsid w:val="56CB5404"/>
    <w:rsid w:val="56E750C3"/>
    <w:rsid w:val="56F730EA"/>
    <w:rsid w:val="57272B15"/>
    <w:rsid w:val="57476D14"/>
    <w:rsid w:val="574865E8"/>
    <w:rsid w:val="576A2448"/>
    <w:rsid w:val="576F1DC6"/>
    <w:rsid w:val="579131B3"/>
    <w:rsid w:val="5797707A"/>
    <w:rsid w:val="579D2DD8"/>
    <w:rsid w:val="57A53A3A"/>
    <w:rsid w:val="57A8352A"/>
    <w:rsid w:val="57B86FFE"/>
    <w:rsid w:val="57E02CC4"/>
    <w:rsid w:val="57E5652D"/>
    <w:rsid w:val="580F7106"/>
    <w:rsid w:val="58134E48"/>
    <w:rsid w:val="58241C4C"/>
    <w:rsid w:val="582E57DE"/>
    <w:rsid w:val="58301D4A"/>
    <w:rsid w:val="5841043A"/>
    <w:rsid w:val="584414A5"/>
    <w:rsid w:val="584C509B"/>
    <w:rsid w:val="584E40D2"/>
    <w:rsid w:val="58820DAE"/>
    <w:rsid w:val="588D2570"/>
    <w:rsid w:val="58900396"/>
    <w:rsid w:val="58AC4EEE"/>
    <w:rsid w:val="58C05454"/>
    <w:rsid w:val="58C83E84"/>
    <w:rsid w:val="58D81DEA"/>
    <w:rsid w:val="58D904C4"/>
    <w:rsid w:val="58E169DF"/>
    <w:rsid w:val="58F05189"/>
    <w:rsid w:val="59060509"/>
    <w:rsid w:val="5928537F"/>
    <w:rsid w:val="592D2486"/>
    <w:rsid w:val="5943747C"/>
    <w:rsid w:val="595B6AA6"/>
    <w:rsid w:val="59725B9E"/>
    <w:rsid w:val="5979454E"/>
    <w:rsid w:val="597D6869"/>
    <w:rsid w:val="59AC10B0"/>
    <w:rsid w:val="59B03041"/>
    <w:rsid w:val="59B231EC"/>
    <w:rsid w:val="59B843A4"/>
    <w:rsid w:val="59C52A93"/>
    <w:rsid w:val="59D530EB"/>
    <w:rsid w:val="59DE1485"/>
    <w:rsid w:val="59E00D5A"/>
    <w:rsid w:val="59F67A26"/>
    <w:rsid w:val="59F91E1B"/>
    <w:rsid w:val="5A0233C6"/>
    <w:rsid w:val="5A4B6B1B"/>
    <w:rsid w:val="5A5A0B0C"/>
    <w:rsid w:val="5A673229"/>
    <w:rsid w:val="5A985AD8"/>
    <w:rsid w:val="5AA36B2A"/>
    <w:rsid w:val="5ACE32A8"/>
    <w:rsid w:val="5AD52888"/>
    <w:rsid w:val="5AE4594D"/>
    <w:rsid w:val="5AE4717C"/>
    <w:rsid w:val="5AE72329"/>
    <w:rsid w:val="5AF70B15"/>
    <w:rsid w:val="5AF962B4"/>
    <w:rsid w:val="5AFD25E5"/>
    <w:rsid w:val="5AFF3461"/>
    <w:rsid w:val="5B0D5B7E"/>
    <w:rsid w:val="5B291D9C"/>
    <w:rsid w:val="5B352CBE"/>
    <w:rsid w:val="5B3C492C"/>
    <w:rsid w:val="5B4B2B4A"/>
    <w:rsid w:val="5B572362"/>
    <w:rsid w:val="5B7452AC"/>
    <w:rsid w:val="5B7E3444"/>
    <w:rsid w:val="5B8F2A37"/>
    <w:rsid w:val="5B9833FC"/>
    <w:rsid w:val="5B9F3554"/>
    <w:rsid w:val="5BA74018"/>
    <w:rsid w:val="5BEA2363"/>
    <w:rsid w:val="5BEE324A"/>
    <w:rsid w:val="5BF44F90"/>
    <w:rsid w:val="5C090A3C"/>
    <w:rsid w:val="5C0D7E00"/>
    <w:rsid w:val="5C1B1F02"/>
    <w:rsid w:val="5C376CF1"/>
    <w:rsid w:val="5C3F445D"/>
    <w:rsid w:val="5C524C8D"/>
    <w:rsid w:val="5C550BA8"/>
    <w:rsid w:val="5C59404C"/>
    <w:rsid w:val="5C712E56"/>
    <w:rsid w:val="5C78171D"/>
    <w:rsid w:val="5C8F6A67"/>
    <w:rsid w:val="5C9D1184"/>
    <w:rsid w:val="5CAB3303"/>
    <w:rsid w:val="5CAE6FB0"/>
    <w:rsid w:val="5CB309A7"/>
    <w:rsid w:val="5CB941D1"/>
    <w:rsid w:val="5CD64696"/>
    <w:rsid w:val="5CF35248"/>
    <w:rsid w:val="5CFB4A62"/>
    <w:rsid w:val="5CFF599B"/>
    <w:rsid w:val="5D1F603D"/>
    <w:rsid w:val="5D2673CB"/>
    <w:rsid w:val="5D4F6391"/>
    <w:rsid w:val="5D513680"/>
    <w:rsid w:val="5D55380D"/>
    <w:rsid w:val="5D5E0913"/>
    <w:rsid w:val="5D8121CB"/>
    <w:rsid w:val="5DBB1B03"/>
    <w:rsid w:val="5DBB290C"/>
    <w:rsid w:val="5DDD7B99"/>
    <w:rsid w:val="5DEC2753"/>
    <w:rsid w:val="5E196F30"/>
    <w:rsid w:val="5E1F0C11"/>
    <w:rsid w:val="5E483371"/>
    <w:rsid w:val="5E532442"/>
    <w:rsid w:val="5E727E2D"/>
    <w:rsid w:val="5E7B72A3"/>
    <w:rsid w:val="5E7E2B8A"/>
    <w:rsid w:val="5E8C5954"/>
    <w:rsid w:val="5E9131FE"/>
    <w:rsid w:val="5EAC44F2"/>
    <w:rsid w:val="5EB6477F"/>
    <w:rsid w:val="5EDB7F9D"/>
    <w:rsid w:val="5EEA34F2"/>
    <w:rsid w:val="5F0A3730"/>
    <w:rsid w:val="5F13398C"/>
    <w:rsid w:val="5F2245F1"/>
    <w:rsid w:val="5F3D09FC"/>
    <w:rsid w:val="5F697A43"/>
    <w:rsid w:val="5F795ED8"/>
    <w:rsid w:val="5F8F2EE5"/>
    <w:rsid w:val="5F9D2624"/>
    <w:rsid w:val="5FA8056B"/>
    <w:rsid w:val="5FE5531C"/>
    <w:rsid w:val="5FED1E6F"/>
    <w:rsid w:val="5FEE0EAB"/>
    <w:rsid w:val="5FF34165"/>
    <w:rsid w:val="600A4D82"/>
    <w:rsid w:val="600C0179"/>
    <w:rsid w:val="602837DB"/>
    <w:rsid w:val="6035705A"/>
    <w:rsid w:val="60595773"/>
    <w:rsid w:val="606747A7"/>
    <w:rsid w:val="60762184"/>
    <w:rsid w:val="6098716E"/>
    <w:rsid w:val="609B00D0"/>
    <w:rsid w:val="60B13450"/>
    <w:rsid w:val="60CA62C0"/>
    <w:rsid w:val="60DF4DDA"/>
    <w:rsid w:val="60E46382"/>
    <w:rsid w:val="60E90C3A"/>
    <w:rsid w:val="60E96DB8"/>
    <w:rsid w:val="60ED496E"/>
    <w:rsid w:val="60F83D92"/>
    <w:rsid w:val="61083D56"/>
    <w:rsid w:val="610C68D8"/>
    <w:rsid w:val="612C7CD7"/>
    <w:rsid w:val="61342B61"/>
    <w:rsid w:val="613B0F6B"/>
    <w:rsid w:val="615946F6"/>
    <w:rsid w:val="615C160D"/>
    <w:rsid w:val="615D38F8"/>
    <w:rsid w:val="616D2169"/>
    <w:rsid w:val="619E3E0B"/>
    <w:rsid w:val="619F22FA"/>
    <w:rsid w:val="61A30022"/>
    <w:rsid w:val="61AE6FCE"/>
    <w:rsid w:val="61C3355C"/>
    <w:rsid w:val="61C86CA3"/>
    <w:rsid w:val="61DA0784"/>
    <w:rsid w:val="61DA7B4A"/>
    <w:rsid w:val="61E260EE"/>
    <w:rsid w:val="61F56B7E"/>
    <w:rsid w:val="61F77588"/>
    <w:rsid w:val="62061579"/>
    <w:rsid w:val="620E729C"/>
    <w:rsid w:val="621974FF"/>
    <w:rsid w:val="622C6A9D"/>
    <w:rsid w:val="62487DE4"/>
    <w:rsid w:val="6263743D"/>
    <w:rsid w:val="629534E0"/>
    <w:rsid w:val="62BF2BA3"/>
    <w:rsid w:val="62CC398D"/>
    <w:rsid w:val="62D6745D"/>
    <w:rsid w:val="62D82F16"/>
    <w:rsid w:val="62E713AB"/>
    <w:rsid w:val="63170935"/>
    <w:rsid w:val="632271C7"/>
    <w:rsid w:val="63291345"/>
    <w:rsid w:val="632F747E"/>
    <w:rsid w:val="633B6B97"/>
    <w:rsid w:val="63444606"/>
    <w:rsid w:val="63464323"/>
    <w:rsid w:val="63614020"/>
    <w:rsid w:val="63634A25"/>
    <w:rsid w:val="63937C6E"/>
    <w:rsid w:val="639B2628"/>
    <w:rsid w:val="63A95B1B"/>
    <w:rsid w:val="63BA6ABF"/>
    <w:rsid w:val="63D63E84"/>
    <w:rsid w:val="640164E2"/>
    <w:rsid w:val="64405216"/>
    <w:rsid w:val="644F2569"/>
    <w:rsid w:val="645E38EF"/>
    <w:rsid w:val="646C354D"/>
    <w:rsid w:val="649D0B69"/>
    <w:rsid w:val="64B14FF4"/>
    <w:rsid w:val="64B33C3A"/>
    <w:rsid w:val="64BD63E6"/>
    <w:rsid w:val="64F1206D"/>
    <w:rsid w:val="6516613A"/>
    <w:rsid w:val="651B774A"/>
    <w:rsid w:val="651C6006"/>
    <w:rsid w:val="65206DF6"/>
    <w:rsid w:val="652928B8"/>
    <w:rsid w:val="652E32C1"/>
    <w:rsid w:val="654D1E2B"/>
    <w:rsid w:val="655A40B6"/>
    <w:rsid w:val="65605444"/>
    <w:rsid w:val="656E7B61"/>
    <w:rsid w:val="6587748D"/>
    <w:rsid w:val="658E1FB1"/>
    <w:rsid w:val="65AC32B4"/>
    <w:rsid w:val="65AC4A59"/>
    <w:rsid w:val="65B512EC"/>
    <w:rsid w:val="65C37F02"/>
    <w:rsid w:val="65D75707"/>
    <w:rsid w:val="65DF280D"/>
    <w:rsid w:val="65F77B57"/>
    <w:rsid w:val="65FC516D"/>
    <w:rsid w:val="65FE0EE5"/>
    <w:rsid w:val="66442670"/>
    <w:rsid w:val="664E39F8"/>
    <w:rsid w:val="66520903"/>
    <w:rsid w:val="666B1271"/>
    <w:rsid w:val="66886A01"/>
    <w:rsid w:val="66D435C2"/>
    <w:rsid w:val="66DF2045"/>
    <w:rsid w:val="66E8072D"/>
    <w:rsid w:val="66EA3218"/>
    <w:rsid w:val="66EC3434"/>
    <w:rsid w:val="66EC51E2"/>
    <w:rsid w:val="66F357D3"/>
    <w:rsid w:val="66F549FB"/>
    <w:rsid w:val="66F71345"/>
    <w:rsid w:val="66FD73EF"/>
    <w:rsid w:val="67050AFD"/>
    <w:rsid w:val="670E50FD"/>
    <w:rsid w:val="673F17B5"/>
    <w:rsid w:val="674F2F0C"/>
    <w:rsid w:val="67512F25"/>
    <w:rsid w:val="67515045"/>
    <w:rsid w:val="67582877"/>
    <w:rsid w:val="676E209B"/>
    <w:rsid w:val="67917B37"/>
    <w:rsid w:val="679715F1"/>
    <w:rsid w:val="67A55390"/>
    <w:rsid w:val="67C062E2"/>
    <w:rsid w:val="67E1461B"/>
    <w:rsid w:val="67E67E83"/>
    <w:rsid w:val="67E7200D"/>
    <w:rsid w:val="67E9487C"/>
    <w:rsid w:val="67F3434E"/>
    <w:rsid w:val="67FF7197"/>
    <w:rsid w:val="68007BF0"/>
    <w:rsid w:val="680117A9"/>
    <w:rsid w:val="68024591"/>
    <w:rsid w:val="68047FD1"/>
    <w:rsid w:val="68150768"/>
    <w:rsid w:val="681B08E1"/>
    <w:rsid w:val="683C3F47"/>
    <w:rsid w:val="683F57E5"/>
    <w:rsid w:val="685A72E9"/>
    <w:rsid w:val="68633281"/>
    <w:rsid w:val="68721717"/>
    <w:rsid w:val="68863414"/>
    <w:rsid w:val="68B211C7"/>
    <w:rsid w:val="68B43ADD"/>
    <w:rsid w:val="68B97345"/>
    <w:rsid w:val="68BF2482"/>
    <w:rsid w:val="68EA74C5"/>
    <w:rsid w:val="68EC099A"/>
    <w:rsid w:val="68FB288B"/>
    <w:rsid w:val="69082018"/>
    <w:rsid w:val="690C2AB2"/>
    <w:rsid w:val="692D1AE1"/>
    <w:rsid w:val="69594684"/>
    <w:rsid w:val="698452E9"/>
    <w:rsid w:val="698552D5"/>
    <w:rsid w:val="69856A0A"/>
    <w:rsid w:val="69A153B9"/>
    <w:rsid w:val="69DC6335"/>
    <w:rsid w:val="69FF347E"/>
    <w:rsid w:val="6A103DAD"/>
    <w:rsid w:val="6A2738E6"/>
    <w:rsid w:val="6A294057"/>
    <w:rsid w:val="6A325314"/>
    <w:rsid w:val="6A4A3D0D"/>
    <w:rsid w:val="6A4C4B2C"/>
    <w:rsid w:val="6A4E5424"/>
    <w:rsid w:val="6A6257BB"/>
    <w:rsid w:val="6A6300BF"/>
    <w:rsid w:val="6A6E4160"/>
    <w:rsid w:val="6A7F051B"/>
    <w:rsid w:val="6A9E4A45"/>
    <w:rsid w:val="6AA04B14"/>
    <w:rsid w:val="6AA162E3"/>
    <w:rsid w:val="6AB51D8E"/>
    <w:rsid w:val="6ABC0BCB"/>
    <w:rsid w:val="6ACF10A2"/>
    <w:rsid w:val="6AE215AE"/>
    <w:rsid w:val="6B0E72BE"/>
    <w:rsid w:val="6B1A2FCA"/>
    <w:rsid w:val="6B1C3522"/>
    <w:rsid w:val="6B1E0301"/>
    <w:rsid w:val="6B3C04CC"/>
    <w:rsid w:val="6B540C83"/>
    <w:rsid w:val="6B5A4F95"/>
    <w:rsid w:val="6B7739CC"/>
    <w:rsid w:val="6B7901B0"/>
    <w:rsid w:val="6BA67A58"/>
    <w:rsid w:val="6BF1329A"/>
    <w:rsid w:val="6C030E67"/>
    <w:rsid w:val="6C0E1756"/>
    <w:rsid w:val="6C353FD8"/>
    <w:rsid w:val="6C383202"/>
    <w:rsid w:val="6C4138FC"/>
    <w:rsid w:val="6C476671"/>
    <w:rsid w:val="6C506ACD"/>
    <w:rsid w:val="6C830396"/>
    <w:rsid w:val="6C847C6A"/>
    <w:rsid w:val="6C911D3C"/>
    <w:rsid w:val="6C975956"/>
    <w:rsid w:val="6CAD4554"/>
    <w:rsid w:val="6CAE5601"/>
    <w:rsid w:val="6CB247D7"/>
    <w:rsid w:val="6CD06CF5"/>
    <w:rsid w:val="6CD40BF2"/>
    <w:rsid w:val="6CDE676F"/>
    <w:rsid w:val="6D271C8D"/>
    <w:rsid w:val="6D6C2BD8"/>
    <w:rsid w:val="6D6F26C8"/>
    <w:rsid w:val="6D7C2724"/>
    <w:rsid w:val="6D9143ED"/>
    <w:rsid w:val="6DA07B3F"/>
    <w:rsid w:val="6DB2222C"/>
    <w:rsid w:val="6DC02F24"/>
    <w:rsid w:val="6DD11CEF"/>
    <w:rsid w:val="6DD23FBE"/>
    <w:rsid w:val="6DD4077E"/>
    <w:rsid w:val="6DDD5884"/>
    <w:rsid w:val="6DE866D9"/>
    <w:rsid w:val="6DF33A3B"/>
    <w:rsid w:val="6DF66946"/>
    <w:rsid w:val="6E0948CB"/>
    <w:rsid w:val="6E0D5CE7"/>
    <w:rsid w:val="6E565636"/>
    <w:rsid w:val="6E6B10E2"/>
    <w:rsid w:val="6E750C9F"/>
    <w:rsid w:val="6E796C0D"/>
    <w:rsid w:val="6E867CCA"/>
    <w:rsid w:val="6EAB5982"/>
    <w:rsid w:val="6EB72579"/>
    <w:rsid w:val="6EBA3D3A"/>
    <w:rsid w:val="6EC93902"/>
    <w:rsid w:val="6ECC76A7"/>
    <w:rsid w:val="6ECC79F3"/>
    <w:rsid w:val="6EDC1FE0"/>
    <w:rsid w:val="6F116E60"/>
    <w:rsid w:val="6F35349E"/>
    <w:rsid w:val="6F3C2A7E"/>
    <w:rsid w:val="6F4B0F13"/>
    <w:rsid w:val="6F4C23E3"/>
    <w:rsid w:val="6F4E304A"/>
    <w:rsid w:val="6F525DFE"/>
    <w:rsid w:val="6F543924"/>
    <w:rsid w:val="6F5953DE"/>
    <w:rsid w:val="6F600666"/>
    <w:rsid w:val="6F67309A"/>
    <w:rsid w:val="6F69332B"/>
    <w:rsid w:val="6F9B316B"/>
    <w:rsid w:val="6FAC19B2"/>
    <w:rsid w:val="6FBA2DD6"/>
    <w:rsid w:val="6FBF7463"/>
    <w:rsid w:val="6FC0720B"/>
    <w:rsid w:val="6FD22C8E"/>
    <w:rsid w:val="6FE270D9"/>
    <w:rsid w:val="6FFB38EA"/>
    <w:rsid w:val="7014565A"/>
    <w:rsid w:val="702028FD"/>
    <w:rsid w:val="70271273"/>
    <w:rsid w:val="702C664F"/>
    <w:rsid w:val="702D0153"/>
    <w:rsid w:val="70455963"/>
    <w:rsid w:val="707D55BE"/>
    <w:rsid w:val="70904E30"/>
    <w:rsid w:val="70C23EF6"/>
    <w:rsid w:val="70DF2FE4"/>
    <w:rsid w:val="71034039"/>
    <w:rsid w:val="710B6BAC"/>
    <w:rsid w:val="71127B9B"/>
    <w:rsid w:val="71355BAD"/>
    <w:rsid w:val="713C3C71"/>
    <w:rsid w:val="71422590"/>
    <w:rsid w:val="714613E8"/>
    <w:rsid w:val="71526589"/>
    <w:rsid w:val="717A163C"/>
    <w:rsid w:val="71940950"/>
    <w:rsid w:val="71A14E1B"/>
    <w:rsid w:val="71AB7A47"/>
    <w:rsid w:val="71B62B33"/>
    <w:rsid w:val="71B82410"/>
    <w:rsid w:val="71CC2177"/>
    <w:rsid w:val="71CD3E62"/>
    <w:rsid w:val="71CD5C10"/>
    <w:rsid w:val="71CF1988"/>
    <w:rsid w:val="71E56A41"/>
    <w:rsid w:val="71F653EB"/>
    <w:rsid w:val="71F71538"/>
    <w:rsid w:val="71FD64F5"/>
    <w:rsid w:val="721F3B3C"/>
    <w:rsid w:val="72273710"/>
    <w:rsid w:val="722A4E10"/>
    <w:rsid w:val="722F72D2"/>
    <w:rsid w:val="72330169"/>
    <w:rsid w:val="725549C1"/>
    <w:rsid w:val="72590B02"/>
    <w:rsid w:val="72715C07"/>
    <w:rsid w:val="72933BE0"/>
    <w:rsid w:val="72AE3C93"/>
    <w:rsid w:val="72BA6483"/>
    <w:rsid w:val="72C2773E"/>
    <w:rsid w:val="72C32707"/>
    <w:rsid w:val="72DA6836"/>
    <w:rsid w:val="72DF5BFA"/>
    <w:rsid w:val="72E70F53"/>
    <w:rsid w:val="730D676E"/>
    <w:rsid w:val="73124222"/>
    <w:rsid w:val="73163105"/>
    <w:rsid w:val="732D4BB8"/>
    <w:rsid w:val="735F0AE9"/>
    <w:rsid w:val="73683E42"/>
    <w:rsid w:val="73903399"/>
    <w:rsid w:val="73905147"/>
    <w:rsid w:val="73BF77DA"/>
    <w:rsid w:val="73C6500C"/>
    <w:rsid w:val="73E75E1D"/>
    <w:rsid w:val="73FB696D"/>
    <w:rsid w:val="74125C89"/>
    <w:rsid w:val="74311F2E"/>
    <w:rsid w:val="74477EFB"/>
    <w:rsid w:val="74696318"/>
    <w:rsid w:val="746D0CF1"/>
    <w:rsid w:val="74743626"/>
    <w:rsid w:val="747B5DF7"/>
    <w:rsid w:val="7480340D"/>
    <w:rsid w:val="74956EB9"/>
    <w:rsid w:val="74C923AE"/>
    <w:rsid w:val="74D21440"/>
    <w:rsid w:val="75011D61"/>
    <w:rsid w:val="75100EAA"/>
    <w:rsid w:val="751E4615"/>
    <w:rsid w:val="75313CDE"/>
    <w:rsid w:val="75372475"/>
    <w:rsid w:val="75557917"/>
    <w:rsid w:val="755A1EB0"/>
    <w:rsid w:val="755E0794"/>
    <w:rsid w:val="75652962"/>
    <w:rsid w:val="75712FAC"/>
    <w:rsid w:val="75812F99"/>
    <w:rsid w:val="7590142E"/>
    <w:rsid w:val="75AA27DE"/>
    <w:rsid w:val="75AD0BD6"/>
    <w:rsid w:val="75D64BB7"/>
    <w:rsid w:val="75DB4D9F"/>
    <w:rsid w:val="75E579CC"/>
    <w:rsid w:val="75EF25F8"/>
    <w:rsid w:val="76040116"/>
    <w:rsid w:val="7610256F"/>
    <w:rsid w:val="763556FC"/>
    <w:rsid w:val="764F519D"/>
    <w:rsid w:val="765D577C"/>
    <w:rsid w:val="766B5BB1"/>
    <w:rsid w:val="76724FD8"/>
    <w:rsid w:val="76796B5A"/>
    <w:rsid w:val="7686635C"/>
    <w:rsid w:val="76940C2C"/>
    <w:rsid w:val="76991958"/>
    <w:rsid w:val="76A72ED3"/>
    <w:rsid w:val="76B44436"/>
    <w:rsid w:val="76B63F2A"/>
    <w:rsid w:val="76BD39AC"/>
    <w:rsid w:val="76D417EE"/>
    <w:rsid w:val="76DA3EDE"/>
    <w:rsid w:val="76E557A9"/>
    <w:rsid w:val="76EB223E"/>
    <w:rsid w:val="76F53C3E"/>
    <w:rsid w:val="76FF7460"/>
    <w:rsid w:val="770D3FB3"/>
    <w:rsid w:val="775766A7"/>
    <w:rsid w:val="77707769"/>
    <w:rsid w:val="77972F48"/>
    <w:rsid w:val="77C27899"/>
    <w:rsid w:val="77CB0E43"/>
    <w:rsid w:val="77FA73B0"/>
    <w:rsid w:val="78054355"/>
    <w:rsid w:val="7826607A"/>
    <w:rsid w:val="783C35BF"/>
    <w:rsid w:val="78465F5D"/>
    <w:rsid w:val="787B3FD9"/>
    <w:rsid w:val="787F72C4"/>
    <w:rsid w:val="78847E85"/>
    <w:rsid w:val="789B0816"/>
    <w:rsid w:val="78AC657F"/>
    <w:rsid w:val="78B405FA"/>
    <w:rsid w:val="78B95140"/>
    <w:rsid w:val="78C22246"/>
    <w:rsid w:val="78CE1E32"/>
    <w:rsid w:val="78CE4C6E"/>
    <w:rsid w:val="78E51A91"/>
    <w:rsid w:val="78F74CF4"/>
    <w:rsid w:val="78FF6FF6"/>
    <w:rsid w:val="79165EAD"/>
    <w:rsid w:val="79181E66"/>
    <w:rsid w:val="791929B2"/>
    <w:rsid w:val="791B54B2"/>
    <w:rsid w:val="79257DFE"/>
    <w:rsid w:val="79336CA0"/>
    <w:rsid w:val="79386064"/>
    <w:rsid w:val="793B285E"/>
    <w:rsid w:val="793B3DA7"/>
    <w:rsid w:val="79420774"/>
    <w:rsid w:val="794C38BE"/>
    <w:rsid w:val="79595995"/>
    <w:rsid w:val="796E265F"/>
    <w:rsid w:val="799622F4"/>
    <w:rsid w:val="79985F6B"/>
    <w:rsid w:val="79AE6327"/>
    <w:rsid w:val="79BC51A6"/>
    <w:rsid w:val="79BC6C95"/>
    <w:rsid w:val="79BD2A0E"/>
    <w:rsid w:val="79E44DF8"/>
    <w:rsid w:val="79F349A0"/>
    <w:rsid w:val="7A065896"/>
    <w:rsid w:val="7A122D59"/>
    <w:rsid w:val="7A262C7B"/>
    <w:rsid w:val="7A2A2618"/>
    <w:rsid w:val="7A3525A4"/>
    <w:rsid w:val="7A5769BE"/>
    <w:rsid w:val="7A582B82"/>
    <w:rsid w:val="7A5A30E7"/>
    <w:rsid w:val="7A5E4669"/>
    <w:rsid w:val="7A7A45B0"/>
    <w:rsid w:val="7A805F15"/>
    <w:rsid w:val="7A9A1614"/>
    <w:rsid w:val="7AA03EC1"/>
    <w:rsid w:val="7AA339B1"/>
    <w:rsid w:val="7AA47075"/>
    <w:rsid w:val="7AAB0B58"/>
    <w:rsid w:val="7ABD5F0D"/>
    <w:rsid w:val="7ABE5E0F"/>
    <w:rsid w:val="7AC65B36"/>
    <w:rsid w:val="7ADF7905"/>
    <w:rsid w:val="7AE244DA"/>
    <w:rsid w:val="7AE364A4"/>
    <w:rsid w:val="7AEE7323"/>
    <w:rsid w:val="7AEF309B"/>
    <w:rsid w:val="7AFB3701"/>
    <w:rsid w:val="7AFFDD96"/>
    <w:rsid w:val="7B136980"/>
    <w:rsid w:val="7B346CFF"/>
    <w:rsid w:val="7B5A7F17"/>
    <w:rsid w:val="7B666AE8"/>
    <w:rsid w:val="7B690653"/>
    <w:rsid w:val="7B892334"/>
    <w:rsid w:val="7B9513A5"/>
    <w:rsid w:val="7B9C1B1E"/>
    <w:rsid w:val="7BD61B65"/>
    <w:rsid w:val="7BD77DB7"/>
    <w:rsid w:val="7BF839F0"/>
    <w:rsid w:val="7C160102"/>
    <w:rsid w:val="7C191868"/>
    <w:rsid w:val="7C350F81"/>
    <w:rsid w:val="7C3852D0"/>
    <w:rsid w:val="7C3E04C7"/>
    <w:rsid w:val="7C483B9F"/>
    <w:rsid w:val="7C547659"/>
    <w:rsid w:val="7C550D35"/>
    <w:rsid w:val="7C5B09E8"/>
    <w:rsid w:val="7C6333F8"/>
    <w:rsid w:val="7C662EC8"/>
    <w:rsid w:val="7C921F30"/>
    <w:rsid w:val="7CC0084B"/>
    <w:rsid w:val="7CCE674A"/>
    <w:rsid w:val="7CD479E4"/>
    <w:rsid w:val="7CDE33C7"/>
    <w:rsid w:val="7CE01C7B"/>
    <w:rsid w:val="7CEA58C8"/>
    <w:rsid w:val="7D0270B5"/>
    <w:rsid w:val="7D0421D8"/>
    <w:rsid w:val="7D064084"/>
    <w:rsid w:val="7D0F3580"/>
    <w:rsid w:val="7D1D5C9D"/>
    <w:rsid w:val="7D2F59D0"/>
    <w:rsid w:val="7D366D5F"/>
    <w:rsid w:val="7D3722D7"/>
    <w:rsid w:val="7D382D1E"/>
    <w:rsid w:val="7D3E5C51"/>
    <w:rsid w:val="7D440F89"/>
    <w:rsid w:val="7D6C452F"/>
    <w:rsid w:val="7D815E22"/>
    <w:rsid w:val="7D951C0B"/>
    <w:rsid w:val="7D9729F1"/>
    <w:rsid w:val="7D9D6DDE"/>
    <w:rsid w:val="7D9F2B56"/>
    <w:rsid w:val="7DA168CE"/>
    <w:rsid w:val="7DAC79DD"/>
    <w:rsid w:val="7DB54128"/>
    <w:rsid w:val="7DCE6F97"/>
    <w:rsid w:val="7DE62533"/>
    <w:rsid w:val="7DE84A5B"/>
    <w:rsid w:val="7DEF59B7"/>
    <w:rsid w:val="7E0631F5"/>
    <w:rsid w:val="7E071A15"/>
    <w:rsid w:val="7E0D5D12"/>
    <w:rsid w:val="7E1420CA"/>
    <w:rsid w:val="7E192908"/>
    <w:rsid w:val="7E1D7EEF"/>
    <w:rsid w:val="7E42291F"/>
    <w:rsid w:val="7E461D30"/>
    <w:rsid w:val="7E4B497E"/>
    <w:rsid w:val="7E4F4DB8"/>
    <w:rsid w:val="7E552C38"/>
    <w:rsid w:val="7E775881"/>
    <w:rsid w:val="7E813656"/>
    <w:rsid w:val="7E927B47"/>
    <w:rsid w:val="7EA47CF8"/>
    <w:rsid w:val="7EAA0924"/>
    <w:rsid w:val="7EB566D6"/>
    <w:rsid w:val="7EB96C64"/>
    <w:rsid w:val="7EBA0984"/>
    <w:rsid w:val="7ED44A81"/>
    <w:rsid w:val="7EDC789A"/>
    <w:rsid w:val="7EE03D5D"/>
    <w:rsid w:val="7EE54599"/>
    <w:rsid w:val="7EEE5B1E"/>
    <w:rsid w:val="7EF90044"/>
    <w:rsid w:val="7F0C3488"/>
    <w:rsid w:val="7F236F4C"/>
    <w:rsid w:val="7F3D43D5"/>
    <w:rsid w:val="7F547970"/>
    <w:rsid w:val="7F56338F"/>
    <w:rsid w:val="7F567244"/>
    <w:rsid w:val="7F6776A3"/>
    <w:rsid w:val="7F8F035F"/>
    <w:rsid w:val="7F985AAF"/>
    <w:rsid w:val="7FAE0E2E"/>
    <w:rsid w:val="7FC5261C"/>
    <w:rsid w:val="7FDB599C"/>
    <w:rsid w:val="7FDC1E3F"/>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ocked="1"/>
    <w:lsdException w:uiPriority="99" w:name="index 2" w:locked="1"/>
    <w:lsdException w:uiPriority="99" w:name="index 3" w:locked="1"/>
    <w:lsdException w:qFormat="1" w:unhideWhenUsed="0" w:uiPriority="0" w:semiHidden="0" w:name="index 4"/>
    <w:lsdException w:uiPriority="99" w:name="index 5" w:locked="1"/>
    <w:lsdException w:uiPriority="99" w:name="index 6" w:locked="1"/>
    <w:lsdException w:uiPriority="99" w:name="index 7" w:locked="1"/>
    <w:lsdException w:qFormat="1" w:uiPriority="99" w:semiHidden="0" w:name="index 8" w:locked="1"/>
    <w:lsdException w:uiPriority="99" w:name="index 9" w:locked="1"/>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ocked="1"/>
    <w:lsdException w:qFormat="1" w:unhideWhenUsed="0" w:uiPriority="0" w:semiHidden="0" w:name="caption"/>
    <w:lsdException w:uiPriority="99" w:name="table of figures" w:locked="1"/>
    <w:lsdException w:uiPriority="99" w:name="envelope address" w:locked="1"/>
    <w:lsdException w:qFormat="1" w:unhideWhenUsed="0" w:uiPriority="0" w:semiHidden="0" w:name="envelope return" w:locked="1"/>
    <w:lsdException w:qFormat="1" w:unhideWhenUsed="0" w:uiPriority="0" w:semiHidden="0" w:name="footnote reference"/>
    <w:lsdException w:qFormat="1" w:unhideWhenUsed="0" w:uiPriority="0" w:semiHidden="0" w:name="annotation reference"/>
    <w:lsdException w:uiPriority="99" w:name="line number" w:locked="1"/>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ocked="1"/>
    <w:lsdException w:uiPriority="99" w:name="macro" w:locked="1"/>
    <w:lsdException w:uiPriority="99" w:name="toa heading" w:locked="1"/>
    <w:lsdException w:uiPriority="99" w:name="List" w:locked="1"/>
    <w:lsdException w:qFormat="1" w:unhideWhenUsed="0" w:uiPriority="99" w:semiHidden="0" w:name="List Bullet"/>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ocked="1"/>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ocked="1"/>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ocked="1"/>
    <w:lsdException w:qFormat="1" w:unhideWhenUsed="0" w:uiPriority="0"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qFormat="1" w:unhideWhenUsed="0" w:uiPriority="0" w:semiHidden="0" w:name="HTML Preformatted"/>
    <w:lsdException w:uiPriority="99" w:name="HTML Sample" w:locked="1"/>
    <w:lsdException w:uiPriority="99" w:name="HTML Typewriter" w:locked="1"/>
    <w:lsdException w:uiPriority="99" w:name="HTML Variable" w:locked="1"/>
    <w:lsdException w:qFormat="1" w:uiPriority="99" w:name="Normal Table"/>
    <w:lsdException w:qFormat="1" w:unhideWhenUsed="0" w:uiPriority="0" w:semiHidden="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0" w:name="Table Subtle 1"/>
    <w:lsdException w:uiPriority="99" w:name="Table Subtle 2" w:locked="1"/>
    <w:lsdException w:uiPriority="99" w:name="Table Web 1" w:locked="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99" w:name="Table Theme" w:locked="1"/>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400" w:lineRule="exact"/>
      <w:ind w:firstLine="200" w:firstLineChars="20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104"/>
    <w:autoRedefine/>
    <w:qFormat/>
    <w:uiPriority w:val="0"/>
    <w:pPr>
      <w:keepNext/>
      <w:autoSpaceDE w:val="0"/>
      <w:autoSpaceDN w:val="0"/>
      <w:adjustRightInd w:val="0"/>
      <w:jc w:val="left"/>
      <w:outlineLvl w:val="0"/>
    </w:pPr>
    <w:rPr>
      <w:rFonts w:ascii="Arial" w:hAnsi="Arial" w:eastAsia="黑体"/>
      <w:kern w:val="28"/>
      <w:sz w:val="36"/>
    </w:rPr>
  </w:style>
  <w:style w:type="paragraph" w:styleId="5">
    <w:name w:val="heading 2"/>
    <w:basedOn w:val="1"/>
    <w:next w:val="1"/>
    <w:link w:val="105"/>
    <w:autoRedefine/>
    <w:qFormat/>
    <w:uiPriority w:val="9"/>
    <w:pPr>
      <w:keepNext/>
      <w:keepLines/>
      <w:spacing w:before="260" w:after="260" w:line="416" w:lineRule="auto"/>
      <w:outlineLvl w:val="1"/>
    </w:pPr>
    <w:rPr>
      <w:rFonts w:ascii="Arial" w:hAnsi="Arial" w:eastAsia="黑体"/>
      <w:b/>
      <w:sz w:val="32"/>
      <w:szCs w:val="20"/>
    </w:rPr>
  </w:style>
  <w:style w:type="paragraph" w:styleId="6">
    <w:name w:val="heading 3"/>
    <w:basedOn w:val="1"/>
    <w:next w:val="1"/>
    <w:link w:val="102"/>
    <w:autoRedefine/>
    <w:qFormat/>
    <w:uiPriority w:val="0"/>
    <w:pPr>
      <w:keepNext/>
      <w:keepLines/>
      <w:spacing w:before="260" w:after="260" w:line="416" w:lineRule="auto"/>
      <w:outlineLvl w:val="2"/>
    </w:pPr>
    <w:rPr>
      <w:b/>
      <w:kern w:val="0"/>
      <w:sz w:val="32"/>
      <w:szCs w:val="20"/>
    </w:rPr>
  </w:style>
  <w:style w:type="paragraph" w:styleId="7">
    <w:name w:val="heading 4"/>
    <w:basedOn w:val="1"/>
    <w:next w:val="1"/>
    <w:link w:val="123"/>
    <w:autoRedefine/>
    <w:qFormat/>
    <w:uiPriority w:val="0"/>
    <w:pPr>
      <w:keepNext/>
      <w:keepLines/>
      <w:spacing w:line="360" w:lineRule="auto"/>
      <w:outlineLvl w:val="3"/>
    </w:pPr>
    <w:rPr>
      <w:rFonts w:ascii="Arial" w:hAnsi="Arial"/>
      <w:b/>
      <w:bCs/>
      <w:szCs w:val="28"/>
    </w:rPr>
  </w:style>
  <w:style w:type="paragraph" w:styleId="8">
    <w:name w:val="heading 5"/>
    <w:basedOn w:val="1"/>
    <w:next w:val="1"/>
    <w:link w:val="124"/>
    <w:autoRedefine/>
    <w:qFormat/>
    <w:uiPriority w:val="0"/>
    <w:pPr>
      <w:keepNext/>
      <w:keepLines/>
      <w:spacing w:before="280" w:after="290" w:line="376" w:lineRule="auto"/>
      <w:outlineLvl w:val="4"/>
    </w:pPr>
    <w:rPr>
      <w:b/>
      <w:bCs/>
      <w:sz w:val="28"/>
      <w:szCs w:val="28"/>
    </w:rPr>
  </w:style>
  <w:style w:type="paragraph" w:styleId="9">
    <w:name w:val="heading 6"/>
    <w:basedOn w:val="1"/>
    <w:next w:val="1"/>
    <w:link w:val="68"/>
    <w:autoRedefine/>
    <w:qFormat/>
    <w:uiPriority w:val="0"/>
    <w:pPr>
      <w:keepNext/>
      <w:keepLines/>
      <w:spacing w:before="240" w:after="64" w:line="317" w:lineRule="auto"/>
      <w:outlineLvl w:val="5"/>
    </w:pPr>
    <w:rPr>
      <w:rFonts w:ascii="Cambria" w:hAnsi="Cambria"/>
      <w:b/>
      <w:bCs/>
      <w:sz w:val="24"/>
    </w:rPr>
  </w:style>
  <w:style w:type="paragraph" w:styleId="10">
    <w:name w:val="heading 7"/>
    <w:basedOn w:val="1"/>
    <w:next w:val="1"/>
    <w:link w:val="69"/>
    <w:autoRedefine/>
    <w:qFormat/>
    <w:uiPriority w:val="0"/>
    <w:pPr>
      <w:keepNext/>
      <w:keepLines/>
      <w:spacing w:before="240" w:after="64" w:line="317" w:lineRule="auto"/>
      <w:outlineLvl w:val="6"/>
    </w:pPr>
    <w:rPr>
      <w:rFonts w:ascii="Calibri" w:hAnsi="Calibri"/>
      <w:b/>
      <w:bCs/>
      <w:sz w:val="24"/>
    </w:rPr>
  </w:style>
  <w:style w:type="paragraph" w:styleId="11">
    <w:name w:val="heading 8"/>
    <w:basedOn w:val="1"/>
    <w:next w:val="1"/>
    <w:link w:val="70"/>
    <w:autoRedefine/>
    <w:qFormat/>
    <w:uiPriority w:val="0"/>
    <w:pPr>
      <w:keepNext/>
      <w:keepLines/>
      <w:spacing w:before="240" w:after="64" w:line="317" w:lineRule="auto"/>
      <w:outlineLvl w:val="7"/>
    </w:pPr>
    <w:rPr>
      <w:rFonts w:ascii="Cambria" w:hAnsi="Cambria"/>
      <w:sz w:val="24"/>
    </w:rPr>
  </w:style>
  <w:style w:type="paragraph" w:styleId="12">
    <w:name w:val="heading 9"/>
    <w:basedOn w:val="1"/>
    <w:next w:val="1"/>
    <w:link w:val="71"/>
    <w:autoRedefine/>
    <w:qFormat/>
    <w:uiPriority w:val="0"/>
    <w:pPr>
      <w:keepNext/>
      <w:keepLines/>
      <w:spacing w:before="240" w:after="64" w:line="317" w:lineRule="auto"/>
      <w:outlineLvl w:val="8"/>
    </w:pPr>
    <w:rPr>
      <w:rFonts w:ascii="Cambria" w:hAnsi="Cambria"/>
      <w:szCs w:val="21"/>
    </w:rPr>
  </w:style>
  <w:style w:type="character" w:default="1" w:styleId="51">
    <w:name w:val="Default Paragraph Font"/>
    <w:semiHidden/>
    <w:unhideWhenUsed/>
    <w:qFormat/>
    <w:uiPriority w:val="1"/>
  </w:style>
  <w:style w:type="table" w:default="1" w:styleId="4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75"/>
    <w:autoRedefine/>
    <w:qFormat/>
    <w:uiPriority w:val="0"/>
    <w:pPr>
      <w:spacing w:after="120"/>
    </w:pPr>
  </w:style>
  <w:style w:type="paragraph" w:styleId="3">
    <w:name w:val="toc 2"/>
    <w:basedOn w:val="1"/>
    <w:next w:val="1"/>
    <w:autoRedefine/>
    <w:qFormat/>
    <w:uiPriority w:val="39"/>
    <w:pPr>
      <w:ind w:left="210"/>
      <w:jc w:val="left"/>
    </w:pPr>
    <w:rPr>
      <w:rFonts w:asciiTheme="minorHAnsi" w:hAnsiTheme="minorHAnsi" w:cstheme="minorHAnsi"/>
      <w:smallCaps/>
      <w:sz w:val="20"/>
      <w:szCs w:val="20"/>
    </w:rPr>
  </w:style>
  <w:style w:type="paragraph" w:styleId="13">
    <w:name w:val="toc 7"/>
    <w:basedOn w:val="1"/>
    <w:next w:val="1"/>
    <w:autoRedefine/>
    <w:qFormat/>
    <w:uiPriority w:val="39"/>
    <w:pPr>
      <w:ind w:left="1260"/>
      <w:jc w:val="left"/>
    </w:pPr>
    <w:rPr>
      <w:rFonts w:asciiTheme="minorHAnsi" w:hAnsiTheme="minorHAnsi" w:cstheme="minorHAnsi"/>
      <w:sz w:val="18"/>
      <w:szCs w:val="18"/>
    </w:rPr>
  </w:style>
  <w:style w:type="paragraph" w:styleId="14">
    <w:name w:val="index 8"/>
    <w:basedOn w:val="1"/>
    <w:next w:val="1"/>
    <w:autoRedefine/>
    <w:unhideWhenUsed/>
    <w:qFormat/>
    <w:locked/>
    <w:uiPriority w:val="99"/>
    <w:pPr>
      <w:ind w:left="2940"/>
      <w:jc w:val="center"/>
    </w:pPr>
  </w:style>
  <w:style w:type="paragraph" w:styleId="15">
    <w:name w:val="Normal Indent"/>
    <w:basedOn w:val="1"/>
    <w:link w:val="114"/>
    <w:autoRedefine/>
    <w:qFormat/>
    <w:uiPriority w:val="0"/>
    <w:pPr>
      <w:ind w:firstLine="420"/>
    </w:pPr>
    <w:rPr>
      <w:rFonts w:ascii="宋体"/>
      <w:sz w:val="30"/>
      <w:szCs w:val="20"/>
    </w:rPr>
  </w:style>
  <w:style w:type="paragraph" w:styleId="16">
    <w:name w:val="caption"/>
    <w:basedOn w:val="1"/>
    <w:next w:val="1"/>
    <w:autoRedefine/>
    <w:qFormat/>
    <w:uiPriority w:val="0"/>
    <w:rPr>
      <w:rFonts w:ascii="Cambria" w:hAnsi="Cambria" w:eastAsia="黑体"/>
      <w:sz w:val="20"/>
      <w:szCs w:val="20"/>
    </w:rPr>
  </w:style>
  <w:style w:type="paragraph" w:styleId="17">
    <w:name w:val="List Bullet"/>
    <w:basedOn w:val="1"/>
    <w:autoRedefine/>
    <w:qFormat/>
    <w:uiPriority w:val="99"/>
    <w:pPr>
      <w:numPr>
        <w:ilvl w:val="0"/>
        <w:numId w:val="1"/>
      </w:numPr>
    </w:pPr>
  </w:style>
  <w:style w:type="paragraph" w:styleId="18">
    <w:name w:val="Document Map"/>
    <w:basedOn w:val="1"/>
    <w:link w:val="159"/>
    <w:autoRedefine/>
    <w:qFormat/>
    <w:uiPriority w:val="0"/>
    <w:pPr>
      <w:shd w:val="clear" w:color="auto" w:fill="000080"/>
    </w:pPr>
    <w:rPr>
      <w:sz w:val="24"/>
      <w:szCs w:val="20"/>
      <w:shd w:val="clear" w:color="auto" w:fill="000080"/>
    </w:rPr>
  </w:style>
  <w:style w:type="paragraph" w:styleId="19">
    <w:name w:val="annotation text"/>
    <w:basedOn w:val="1"/>
    <w:link w:val="111"/>
    <w:autoRedefine/>
    <w:qFormat/>
    <w:uiPriority w:val="0"/>
    <w:pPr>
      <w:jc w:val="left"/>
    </w:pPr>
  </w:style>
  <w:style w:type="paragraph" w:styleId="20">
    <w:name w:val="Body Text 3"/>
    <w:basedOn w:val="1"/>
    <w:link w:val="74"/>
    <w:autoRedefine/>
    <w:qFormat/>
    <w:uiPriority w:val="0"/>
    <w:pPr>
      <w:spacing w:after="120"/>
    </w:pPr>
    <w:rPr>
      <w:kern w:val="0"/>
      <w:sz w:val="16"/>
      <w:szCs w:val="16"/>
    </w:rPr>
  </w:style>
  <w:style w:type="paragraph" w:styleId="21">
    <w:name w:val="Body Text Indent"/>
    <w:basedOn w:val="1"/>
    <w:next w:val="22"/>
    <w:link w:val="327"/>
    <w:autoRedefine/>
    <w:qFormat/>
    <w:uiPriority w:val="0"/>
    <w:pPr>
      <w:spacing w:after="120"/>
      <w:ind w:left="420" w:leftChars="200"/>
    </w:pPr>
  </w:style>
  <w:style w:type="paragraph" w:styleId="22">
    <w:name w:val="envelope return"/>
    <w:basedOn w:val="1"/>
    <w:autoRedefine/>
    <w:qFormat/>
    <w:locked/>
    <w:uiPriority w:val="0"/>
    <w:pPr>
      <w:widowControl/>
      <w:numPr>
        <w:ilvl w:val="0"/>
        <w:numId w:val="2"/>
      </w:numPr>
      <w:snapToGrid w:val="0"/>
      <w:spacing w:before="100" w:beforeAutospacing="1" w:after="100" w:afterAutospacing="1" w:line="360" w:lineRule="auto"/>
      <w:ind w:left="0" w:firstLine="480"/>
      <w:jc w:val="left"/>
    </w:pPr>
    <w:rPr>
      <w:rFonts w:ascii="Cambria" w:hAnsi="Cambria"/>
      <w:kern w:val="11"/>
      <w:sz w:val="24"/>
    </w:rPr>
  </w:style>
  <w:style w:type="paragraph" w:styleId="23">
    <w:name w:val="index 4"/>
    <w:basedOn w:val="1"/>
    <w:next w:val="1"/>
    <w:autoRedefine/>
    <w:qFormat/>
    <w:uiPriority w:val="0"/>
    <w:pPr>
      <w:ind w:left="600" w:leftChars="600"/>
    </w:pPr>
  </w:style>
  <w:style w:type="paragraph" w:styleId="24">
    <w:name w:val="toc 5"/>
    <w:basedOn w:val="1"/>
    <w:next w:val="1"/>
    <w:autoRedefine/>
    <w:qFormat/>
    <w:uiPriority w:val="39"/>
    <w:pPr>
      <w:ind w:left="840"/>
      <w:jc w:val="left"/>
    </w:pPr>
    <w:rPr>
      <w:rFonts w:asciiTheme="minorHAnsi" w:hAnsiTheme="minorHAnsi" w:cstheme="minorHAnsi"/>
      <w:sz w:val="18"/>
      <w:szCs w:val="18"/>
    </w:rPr>
  </w:style>
  <w:style w:type="paragraph" w:styleId="25">
    <w:name w:val="toc 3"/>
    <w:basedOn w:val="26"/>
    <w:next w:val="26"/>
    <w:autoRedefine/>
    <w:qFormat/>
    <w:uiPriority w:val="39"/>
    <w:pPr>
      <w:ind w:left="420"/>
      <w:jc w:val="left"/>
    </w:pPr>
    <w:rPr>
      <w:rFonts w:asciiTheme="minorHAnsi" w:hAnsiTheme="minorHAnsi" w:cstheme="minorHAnsi"/>
      <w:i/>
      <w:iCs/>
      <w:sz w:val="20"/>
      <w:szCs w:val="20"/>
    </w:rPr>
  </w:style>
  <w:style w:type="paragraph" w:customStyle="1" w:styleId="26">
    <w:name w:val="正文_0"/>
    <w:autoRedefine/>
    <w:qFormat/>
    <w:uiPriority w:val="0"/>
    <w:pPr>
      <w:widowControl w:val="0"/>
      <w:spacing w:line="400" w:lineRule="exact"/>
      <w:ind w:firstLine="200" w:firstLineChars="200"/>
      <w:jc w:val="both"/>
    </w:pPr>
    <w:rPr>
      <w:rFonts w:ascii="Calibri" w:hAnsi="Calibri" w:eastAsia="宋体" w:cs="Times New Roman"/>
      <w:kern w:val="2"/>
      <w:sz w:val="21"/>
      <w:szCs w:val="22"/>
      <w:lang w:val="en-US" w:eastAsia="zh-CN" w:bidi="ar-SA"/>
    </w:rPr>
  </w:style>
  <w:style w:type="paragraph" w:styleId="27">
    <w:name w:val="Plain Text"/>
    <w:basedOn w:val="1"/>
    <w:link w:val="101"/>
    <w:autoRedefine/>
    <w:qFormat/>
    <w:uiPriority w:val="0"/>
    <w:rPr>
      <w:rFonts w:ascii="宋体" w:hAnsi="Courier New"/>
      <w:kern w:val="0"/>
      <w:sz w:val="20"/>
      <w:szCs w:val="20"/>
    </w:rPr>
  </w:style>
  <w:style w:type="paragraph" w:styleId="28">
    <w:name w:val="toc 8"/>
    <w:basedOn w:val="1"/>
    <w:next w:val="1"/>
    <w:autoRedefine/>
    <w:qFormat/>
    <w:uiPriority w:val="39"/>
    <w:pPr>
      <w:ind w:left="1470"/>
      <w:jc w:val="left"/>
    </w:pPr>
    <w:rPr>
      <w:rFonts w:asciiTheme="minorHAnsi" w:hAnsiTheme="minorHAnsi" w:cstheme="minorHAnsi"/>
      <w:sz w:val="18"/>
      <w:szCs w:val="18"/>
    </w:rPr>
  </w:style>
  <w:style w:type="paragraph" w:styleId="29">
    <w:name w:val="Date"/>
    <w:basedOn w:val="1"/>
    <w:next w:val="1"/>
    <w:link w:val="119"/>
    <w:autoRedefine/>
    <w:qFormat/>
    <w:uiPriority w:val="0"/>
    <w:pPr>
      <w:ind w:left="100" w:leftChars="2500"/>
    </w:pPr>
    <w:rPr>
      <w:sz w:val="24"/>
      <w:szCs w:val="20"/>
    </w:rPr>
  </w:style>
  <w:style w:type="paragraph" w:styleId="30">
    <w:name w:val="Body Text Indent 2"/>
    <w:basedOn w:val="1"/>
    <w:link w:val="175"/>
    <w:autoRedefine/>
    <w:qFormat/>
    <w:uiPriority w:val="0"/>
    <w:pPr>
      <w:spacing w:after="120" w:line="480" w:lineRule="auto"/>
      <w:ind w:left="420" w:leftChars="200"/>
    </w:pPr>
    <w:rPr>
      <w:sz w:val="24"/>
      <w:szCs w:val="20"/>
    </w:rPr>
  </w:style>
  <w:style w:type="paragraph" w:styleId="31">
    <w:name w:val="endnote text"/>
    <w:basedOn w:val="1"/>
    <w:link w:val="80"/>
    <w:autoRedefine/>
    <w:qFormat/>
    <w:uiPriority w:val="0"/>
    <w:pPr>
      <w:snapToGrid w:val="0"/>
      <w:jc w:val="left"/>
    </w:pPr>
    <w:rPr>
      <w:b/>
    </w:rPr>
  </w:style>
  <w:style w:type="paragraph" w:styleId="32">
    <w:name w:val="Balloon Text"/>
    <w:basedOn w:val="1"/>
    <w:link w:val="109"/>
    <w:autoRedefine/>
    <w:qFormat/>
    <w:uiPriority w:val="0"/>
    <w:rPr>
      <w:sz w:val="18"/>
      <w:szCs w:val="18"/>
    </w:rPr>
  </w:style>
  <w:style w:type="paragraph" w:styleId="33">
    <w:name w:val="footer"/>
    <w:basedOn w:val="1"/>
    <w:link w:val="94"/>
    <w:autoRedefine/>
    <w:qFormat/>
    <w:uiPriority w:val="99"/>
    <w:pPr>
      <w:tabs>
        <w:tab w:val="center" w:pos="4153"/>
        <w:tab w:val="right" w:pos="8306"/>
      </w:tabs>
      <w:snapToGrid w:val="0"/>
      <w:jc w:val="left"/>
    </w:pPr>
    <w:rPr>
      <w:sz w:val="18"/>
      <w:szCs w:val="18"/>
    </w:rPr>
  </w:style>
  <w:style w:type="paragraph" w:styleId="34">
    <w:name w:val="header"/>
    <w:basedOn w:val="1"/>
    <w:next w:val="2"/>
    <w:link w:val="93"/>
    <w:autoRedefine/>
    <w:qFormat/>
    <w:uiPriority w:val="99"/>
    <w:pPr>
      <w:pBdr>
        <w:bottom w:val="single" w:color="auto" w:sz="6" w:space="1"/>
      </w:pBdr>
      <w:tabs>
        <w:tab w:val="center" w:pos="4153"/>
        <w:tab w:val="right" w:pos="8306"/>
      </w:tabs>
      <w:snapToGrid w:val="0"/>
      <w:jc w:val="center"/>
    </w:pPr>
    <w:rPr>
      <w:sz w:val="18"/>
      <w:szCs w:val="18"/>
    </w:rPr>
  </w:style>
  <w:style w:type="paragraph" w:styleId="35">
    <w:name w:val="toc 1"/>
    <w:basedOn w:val="1"/>
    <w:next w:val="1"/>
    <w:autoRedefine/>
    <w:qFormat/>
    <w:uiPriority w:val="39"/>
    <w:pPr>
      <w:spacing w:before="120" w:after="120"/>
      <w:jc w:val="left"/>
    </w:pPr>
    <w:rPr>
      <w:rFonts w:asciiTheme="minorHAnsi" w:hAnsiTheme="minorHAnsi" w:cstheme="minorHAnsi"/>
      <w:b/>
      <w:bCs/>
      <w:caps/>
      <w:sz w:val="20"/>
      <w:szCs w:val="20"/>
    </w:rPr>
  </w:style>
  <w:style w:type="paragraph" w:styleId="36">
    <w:name w:val="toc 4"/>
    <w:basedOn w:val="26"/>
    <w:next w:val="26"/>
    <w:autoRedefine/>
    <w:qFormat/>
    <w:uiPriority w:val="39"/>
    <w:pPr>
      <w:ind w:left="630"/>
      <w:jc w:val="left"/>
    </w:pPr>
    <w:rPr>
      <w:rFonts w:asciiTheme="minorHAnsi" w:hAnsiTheme="minorHAnsi" w:cstheme="minorHAnsi"/>
      <w:sz w:val="18"/>
      <w:szCs w:val="18"/>
    </w:rPr>
  </w:style>
  <w:style w:type="paragraph" w:styleId="37">
    <w:name w:val="Subtitle"/>
    <w:basedOn w:val="1"/>
    <w:next w:val="1"/>
    <w:link w:val="84"/>
    <w:autoRedefine/>
    <w:qFormat/>
    <w:uiPriority w:val="0"/>
    <w:pPr>
      <w:spacing w:before="240" w:after="60" w:line="312" w:lineRule="auto"/>
      <w:jc w:val="center"/>
      <w:outlineLvl w:val="1"/>
    </w:pPr>
    <w:rPr>
      <w:rFonts w:ascii="Cambria" w:hAnsi="Cambria"/>
      <w:b/>
      <w:bCs/>
      <w:kern w:val="28"/>
      <w:sz w:val="32"/>
      <w:szCs w:val="32"/>
    </w:rPr>
  </w:style>
  <w:style w:type="paragraph" w:styleId="38">
    <w:name w:val="footnote text"/>
    <w:basedOn w:val="1"/>
    <w:link w:val="254"/>
    <w:autoRedefine/>
    <w:qFormat/>
    <w:uiPriority w:val="0"/>
    <w:pPr>
      <w:adjustRightInd w:val="0"/>
      <w:spacing w:line="312" w:lineRule="atLeast"/>
      <w:jc w:val="left"/>
      <w:textAlignment w:val="baseline"/>
    </w:pPr>
    <w:rPr>
      <w:kern w:val="0"/>
      <w:sz w:val="18"/>
      <w:szCs w:val="20"/>
    </w:rPr>
  </w:style>
  <w:style w:type="paragraph" w:styleId="39">
    <w:name w:val="toc 6"/>
    <w:basedOn w:val="1"/>
    <w:next w:val="1"/>
    <w:autoRedefine/>
    <w:qFormat/>
    <w:uiPriority w:val="39"/>
    <w:pPr>
      <w:ind w:left="1050"/>
      <w:jc w:val="left"/>
    </w:pPr>
    <w:rPr>
      <w:rFonts w:asciiTheme="minorHAnsi" w:hAnsiTheme="minorHAnsi" w:cstheme="minorHAnsi"/>
      <w:sz w:val="18"/>
      <w:szCs w:val="18"/>
    </w:rPr>
  </w:style>
  <w:style w:type="paragraph" w:styleId="40">
    <w:name w:val="Body Text Indent 3"/>
    <w:basedOn w:val="1"/>
    <w:link w:val="86"/>
    <w:autoRedefine/>
    <w:qFormat/>
    <w:uiPriority w:val="0"/>
    <w:pPr>
      <w:tabs>
        <w:tab w:val="left" w:pos="1155"/>
      </w:tabs>
      <w:spacing w:line="480" w:lineRule="exact"/>
      <w:ind w:firstLine="420" w:firstLineChars="150"/>
    </w:pPr>
    <w:rPr>
      <w:kern w:val="0"/>
      <w:sz w:val="28"/>
    </w:rPr>
  </w:style>
  <w:style w:type="paragraph" w:styleId="41">
    <w:name w:val="toc 9"/>
    <w:basedOn w:val="1"/>
    <w:next w:val="1"/>
    <w:autoRedefine/>
    <w:qFormat/>
    <w:uiPriority w:val="39"/>
    <w:pPr>
      <w:ind w:left="1680"/>
      <w:jc w:val="left"/>
    </w:pPr>
    <w:rPr>
      <w:rFonts w:asciiTheme="minorHAnsi" w:hAnsiTheme="minorHAnsi" w:cstheme="minorHAnsi"/>
      <w:sz w:val="18"/>
      <w:szCs w:val="18"/>
    </w:rPr>
  </w:style>
  <w:style w:type="paragraph" w:styleId="42">
    <w:name w:val="Body Text 2"/>
    <w:basedOn w:val="1"/>
    <w:link w:val="87"/>
    <w:autoRedefine/>
    <w:qFormat/>
    <w:uiPriority w:val="0"/>
    <w:pPr>
      <w:spacing w:after="120" w:line="480" w:lineRule="auto"/>
    </w:pPr>
    <w:rPr>
      <w:sz w:val="24"/>
      <w:szCs w:val="20"/>
    </w:rPr>
  </w:style>
  <w:style w:type="paragraph" w:styleId="43">
    <w:name w:val="HTML Preformatted"/>
    <w:basedOn w:val="1"/>
    <w:link w:val="88"/>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44">
    <w:name w:val="Normal (Web)"/>
    <w:basedOn w:val="1"/>
    <w:link w:val="99"/>
    <w:autoRedefine/>
    <w:qFormat/>
    <w:uiPriority w:val="0"/>
    <w:pPr>
      <w:widowControl/>
      <w:spacing w:before="100" w:beforeAutospacing="1" w:after="100" w:afterAutospacing="1"/>
      <w:jc w:val="left"/>
    </w:pPr>
    <w:rPr>
      <w:kern w:val="0"/>
      <w:sz w:val="24"/>
      <w:szCs w:val="20"/>
    </w:rPr>
  </w:style>
  <w:style w:type="paragraph" w:styleId="45">
    <w:name w:val="Title"/>
    <w:basedOn w:val="1"/>
    <w:next w:val="1"/>
    <w:link w:val="232"/>
    <w:autoRedefine/>
    <w:qFormat/>
    <w:uiPriority w:val="0"/>
    <w:pPr>
      <w:spacing w:before="240" w:after="60"/>
      <w:jc w:val="center"/>
      <w:outlineLvl w:val="0"/>
    </w:pPr>
    <w:rPr>
      <w:rFonts w:ascii="Cambria" w:hAnsi="Cambria"/>
      <w:b/>
      <w:sz w:val="32"/>
      <w:szCs w:val="20"/>
    </w:rPr>
  </w:style>
  <w:style w:type="paragraph" w:styleId="46">
    <w:name w:val="annotation subject"/>
    <w:basedOn w:val="19"/>
    <w:next w:val="19"/>
    <w:link w:val="112"/>
    <w:autoRedefine/>
    <w:qFormat/>
    <w:uiPriority w:val="0"/>
    <w:rPr>
      <w:b/>
      <w:bCs/>
    </w:rPr>
  </w:style>
  <w:style w:type="paragraph" w:styleId="47">
    <w:name w:val="Body Text First Indent"/>
    <w:basedOn w:val="2"/>
    <w:link w:val="91"/>
    <w:autoRedefine/>
    <w:qFormat/>
    <w:uiPriority w:val="0"/>
    <w:pPr>
      <w:adjustRightInd w:val="0"/>
      <w:spacing w:after="60" w:line="360" w:lineRule="atLeast"/>
      <w:ind w:left="72" w:leftChars="30" w:right="30" w:rightChars="30" w:firstLine="420" w:firstLineChars="100"/>
      <w:jc w:val="center"/>
      <w:textAlignment w:val="baseline"/>
    </w:pPr>
    <w:rPr>
      <w:sz w:val="28"/>
    </w:rPr>
  </w:style>
  <w:style w:type="paragraph" w:styleId="48">
    <w:name w:val="Body Text First Indent 2"/>
    <w:basedOn w:val="21"/>
    <w:link w:val="92"/>
    <w:autoRedefine/>
    <w:qFormat/>
    <w:uiPriority w:val="0"/>
    <w:pPr>
      <w:spacing w:before="240" w:after="0" w:line="360" w:lineRule="auto"/>
      <w:ind w:left="0" w:leftChars="0" w:firstLine="420"/>
    </w:pPr>
  </w:style>
  <w:style w:type="table" w:styleId="50">
    <w:name w:val="Table Grid"/>
    <w:basedOn w:val="49"/>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2">
    <w:name w:val="Strong"/>
    <w:autoRedefine/>
    <w:qFormat/>
    <w:uiPriority w:val="0"/>
    <w:rPr>
      <w:rFonts w:ascii="Times New Roman" w:hAnsi="Times New Roman" w:eastAsia="宋体" w:cs="Times New Roman"/>
      <w:b/>
    </w:rPr>
  </w:style>
  <w:style w:type="character" w:styleId="53">
    <w:name w:val="endnote reference"/>
    <w:autoRedefine/>
    <w:qFormat/>
    <w:uiPriority w:val="0"/>
    <w:rPr>
      <w:rFonts w:ascii="Times New Roman" w:hAnsi="Times New Roman" w:eastAsia="宋体" w:cs="Times New Roman"/>
      <w:vertAlign w:val="superscript"/>
    </w:rPr>
  </w:style>
  <w:style w:type="character" w:styleId="54">
    <w:name w:val="page number"/>
    <w:basedOn w:val="51"/>
    <w:autoRedefine/>
    <w:qFormat/>
    <w:uiPriority w:val="0"/>
    <w:rPr>
      <w:rFonts w:ascii="Times New Roman" w:hAnsi="Times New Roman" w:eastAsia="宋体" w:cs="Times New Roman"/>
    </w:rPr>
  </w:style>
  <w:style w:type="character" w:styleId="55">
    <w:name w:val="FollowedHyperlink"/>
    <w:autoRedefine/>
    <w:qFormat/>
    <w:uiPriority w:val="99"/>
    <w:rPr>
      <w:rFonts w:ascii="Times New Roman" w:hAnsi="Times New Roman" w:eastAsia="宋体" w:cs="Times New Roman"/>
      <w:color w:val="DD8905"/>
      <w:u w:val="none"/>
    </w:rPr>
  </w:style>
  <w:style w:type="character" w:styleId="56">
    <w:name w:val="Emphasis"/>
    <w:autoRedefine/>
    <w:qFormat/>
    <w:uiPriority w:val="0"/>
    <w:rPr>
      <w:rFonts w:ascii="Times New Roman" w:hAnsi="Times New Roman" w:eastAsia="宋体" w:cs="Times New Roman"/>
      <w:i/>
    </w:rPr>
  </w:style>
  <w:style w:type="character" w:styleId="57">
    <w:name w:val="Hyperlink"/>
    <w:autoRedefine/>
    <w:qFormat/>
    <w:uiPriority w:val="99"/>
    <w:rPr>
      <w:rFonts w:ascii="Times New Roman" w:hAnsi="Times New Roman" w:eastAsia="宋体" w:cs="Times New Roman"/>
      <w:color w:val="000000"/>
      <w:u w:val="none"/>
    </w:rPr>
  </w:style>
  <w:style w:type="character" w:styleId="58">
    <w:name w:val="annotation reference"/>
    <w:basedOn w:val="51"/>
    <w:autoRedefine/>
    <w:qFormat/>
    <w:uiPriority w:val="0"/>
    <w:rPr>
      <w:rFonts w:cs="Times New Roman"/>
      <w:sz w:val="21"/>
      <w:szCs w:val="21"/>
    </w:rPr>
  </w:style>
  <w:style w:type="character" w:styleId="59">
    <w:name w:val="footnote reference"/>
    <w:autoRedefine/>
    <w:qFormat/>
    <w:uiPriority w:val="0"/>
    <w:rPr>
      <w:rFonts w:ascii="Times New Roman" w:hAnsi="Times New Roman" w:eastAsia="宋体" w:cs="Times New Roman"/>
      <w:vertAlign w:val="superscript"/>
    </w:rPr>
  </w:style>
  <w:style w:type="paragraph" w:customStyle="1" w:styleId="60">
    <w:name w:val="无间隔1"/>
    <w:autoRedefine/>
    <w:qFormat/>
    <w:uiPriority w:val="0"/>
    <w:pPr>
      <w:widowControl w:val="0"/>
      <w:spacing w:line="400" w:lineRule="exact"/>
      <w:ind w:firstLine="200" w:firstLineChars="200"/>
      <w:jc w:val="both"/>
    </w:pPr>
    <w:rPr>
      <w:rFonts w:ascii="Times New Roman" w:hAnsi="Times New Roman" w:eastAsia="宋体" w:cs="Times New Roman"/>
      <w:kern w:val="2"/>
      <w:sz w:val="21"/>
      <w:szCs w:val="24"/>
      <w:lang w:val="en-US" w:eastAsia="zh-CN" w:bidi="ar-SA"/>
    </w:rPr>
  </w:style>
  <w:style w:type="paragraph" w:customStyle="1" w:styleId="61">
    <w:name w:val="表格文字"/>
    <w:basedOn w:val="27"/>
    <w:next w:val="1"/>
    <w:autoRedefine/>
    <w:qFormat/>
    <w:uiPriority w:val="0"/>
    <w:pPr>
      <w:adjustRightInd w:val="0"/>
      <w:spacing w:line="420" w:lineRule="atLeast"/>
      <w:jc w:val="left"/>
      <w:textAlignment w:val="baseline"/>
    </w:pPr>
  </w:style>
  <w:style w:type="paragraph" w:customStyle="1" w:styleId="62">
    <w:name w:val="Default"/>
    <w:autoRedefine/>
    <w:qFormat/>
    <w:uiPriority w:val="0"/>
    <w:pPr>
      <w:widowControl w:val="0"/>
      <w:autoSpaceDE w:val="0"/>
      <w:autoSpaceDN w:val="0"/>
      <w:adjustRightInd w:val="0"/>
      <w:spacing w:line="400" w:lineRule="exact"/>
      <w:ind w:firstLine="200" w:firstLineChars="200"/>
    </w:pPr>
    <w:rPr>
      <w:rFonts w:ascii="Times New Roman" w:hAnsi="Times New Roman" w:eastAsia="宋体" w:cs="Calibri"/>
      <w:color w:val="000000"/>
      <w:sz w:val="24"/>
      <w:szCs w:val="24"/>
      <w:lang w:val="en-US" w:eastAsia="zh-CN" w:bidi="ar-SA"/>
    </w:rPr>
  </w:style>
  <w:style w:type="character" w:customStyle="1" w:styleId="63">
    <w:name w:val="Heading 1 Char"/>
    <w:autoRedefine/>
    <w:qFormat/>
    <w:locked/>
    <w:uiPriority w:val="0"/>
    <w:rPr>
      <w:rFonts w:ascii="Times New Roman" w:hAnsi="Times New Roman" w:eastAsia="宋体" w:cs="Times New Roman"/>
      <w:b/>
      <w:kern w:val="44"/>
      <w:sz w:val="44"/>
      <w:lang w:val="en-US" w:eastAsia="zh-CN"/>
    </w:rPr>
  </w:style>
  <w:style w:type="character" w:customStyle="1" w:styleId="64">
    <w:name w:val="Heading 2 Char"/>
    <w:autoRedefine/>
    <w:qFormat/>
    <w:locked/>
    <w:uiPriority w:val="0"/>
    <w:rPr>
      <w:rFonts w:ascii="Arial" w:hAnsi="Arial" w:eastAsia="黑体" w:cs="Times New Roman"/>
      <w:b/>
      <w:kern w:val="2"/>
      <w:sz w:val="32"/>
      <w:lang w:val="en-US" w:eastAsia="zh-CN"/>
    </w:rPr>
  </w:style>
  <w:style w:type="character" w:customStyle="1" w:styleId="65">
    <w:name w:val="Heading 3 Char"/>
    <w:autoRedefine/>
    <w:qFormat/>
    <w:locked/>
    <w:uiPriority w:val="0"/>
    <w:rPr>
      <w:rFonts w:ascii="Times New Roman" w:hAnsi="Times New Roman" w:eastAsia="宋体" w:cs="Times New Roman"/>
      <w:b/>
      <w:kern w:val="2"/>
      <w:sz w:val="32"/>
    </w:rPr>
  </w:style>
  <w:style w:type="character" w:customStyle="1" w:styleId="66">
    <w:name w:val="Heading 4 Char"/>
    <w:autoRedefine/>
    <w:qFormat/>
    <w:locked/>
    <w:uiPriority w:val="0"/>
    <w:rPr>
      <w:rFonts w:ascii="Arial" w:hAnsi="Arial" w:eastAsia="宋体" w:cs="Times New Roman"/>
      <w:b/>
      <w:kern w:val="2"/>
      <w:sz w:val="28"/>
      <w:lang w:val="en-US" w:eastAsia="zh-CN"/>
    </w:rPr>
  </w:style>
  <w:style w:type="character" w:customStyle="1" w:styleId="67">
    <w:name w:val="Heading 5 Char"/>
    <w:autoRedefine/>
    <w:qFormat/>
    <w:locked/>
    <w:uiPriority w:val="0"/>
    <w:rPr>
      <w:rFonts w:ascii="Times New Roman" w:hAnsi="Times New Roman" w:eastAsia="宋体" w:cs="Times New Roman"/>
      <w:b/>
      <w:kern w:val="2"/>
      <w:sz w:val="28"/>
      <w:lang w:val="en-US" w:eastAsia="zh-CN"/>
    </w:rPr>
  </w:style>
  <w:style w:type="character" w:customStyle="1" w:styleId="68">
    <w:name w:val="标题 6 字符"/>
    <w:link w:val="9"/>
    <w:autoRedefine/>
    <w:qFormat/>
    <w:locked/>
    <w:uiPriority w:val="0"/>
    <w:rPr>
      <w:rFonts w:ascii="Cambria" w:hAnsi="Cambria" w:cs="Times New Roman"/>
      <w:b/>
      <w:bCs/>
      <w:kern w:val="2"/>
      <w:sz w:val="24"/>
      <w:szCs w:val="24"/>
    </w:rPr>
  </w:style>
  <w:style w:type="character" w:customStyle="1" w:styleId="69">
    <w:name w:val="标题 7 字符"/>
    <w:link w:val="10"/>
    <w:autoRedefine/>
    <w:qFormat/>
    <w:locked/>
    <w:uiPriority w:val="0"/>
    <w:rPr>
      <w:rFonts w:ascii="Calibri" w:hAnsi="Calibri" w:cs="Times New Roman"/>
      <w:b/>
      <w:bCs/>
      <w:kern w:val="2"/>
      <w:sz w:val="24"/>
      <w:szCs w:val="24"/>
    </w:rPr>
  </w:style>
  <w:style w:type="character" w:customStyle="1" w:styleId="70">
    <w:name w:val="标题 8 字符"/>
    <w:link w:val="11"/>
    <w:autoRedefine/>
    <w:qFormat/>
    <w:locked/>
    <w:uiPriority w:val="0"/>
    <w:rPr>
      <w:rFonts w:ascii="Cambria" w:hAnsi="Cambria" w:cs="Times New Roman"/>
      <w:kern w:val="2"/>
      <w:sz w:val="24"/>
      <w:szCs w:val="24"/>
    </w:rPr>
  </w:style>
  <w:style w:type="character" w:customStyle="1" w:styleId="71">
    <w:name w:val="标题 9 字符"/>
    <w:link w:val="12"/>
    <w:autoRedefine/>
    <w:qFormat/>
    <w:locked/>
    <w:uiPriority w:val="0"/>
    <w:rPr>
      <w:rFonts w:ascii="Cambria" w:hAnsi="Cambria" w:cs="Times New Roman"/>
      <w:kern w:val="2"/>
      <w:sz w:val="21"/>
      <w:szCs w:val="21"/>
    </w:rPr>
  </w:style>
  <w:style w:type="character" w:customStyle="1" w:styleId="72">
    <w:name w:val="Document Map Char"/>
    <w:autoRedefine/>
    <w:qFormat/>
    <w:locked/>
    <w:uiPriority w:val="0"/>
    <w:rPr>
      <w:rFonts w:ascii="Times New Roman" w:hAnsi="Times New Roman" w:eastAsia="宋体" w:cs="Times New Roman"/>
      <w:kern w:val="2"/>
      <w:sz w:val="24"/>
      <w:lang w:val="en-US" w:eastAsia="zh-CN"/>
    </w:rPr>
  </w:style>
  <w:style w:type="character" w:customStyle="1" w:styleId="73">
    <w:name w:val="Comment Text Char"/>
    <w:autoRedefine/>
    <w:qFormat/>
    <w:locked/>
    <w:uiPriority w:val="0"/>
    <w:rPr>
      <w:rFonts w:ascii="Times New Roman" w:hAnsi="Times New Roman" w:eastAsia="宋体" w:cs="Times New Roman"/>
      <w:sz w:val="24"/>
    </w:rPr>
  </w:style>
  <w:style w:type="character" w:customStyle="1" w:styleId="74">
    <w:name w:val="正文文本 3 字符"/>
    <w:link w:val="20"/>
    <w:autoRedefine/>
    <w:qFormat/>
    <w:locked/>
    <w:uiPriority w:val="0"/>
    <w:rPr>
      <w:rFonts w:cs="Times New Roman"/>
      <w:sz w:val="16"/>
    </w:rPr>
  </w:style>
  <w:style w:type="character" w:customStyle="1" w:styleId="75">
    <w:name w:val="正文文本 字符1"/>
    <w:link w:val="2"/>
    <w:autoRedefine/>
    <w:qFormat/>
    <w:locked/>
    <w:uiPriority w:val="0"/>
    <w:rPr>
      <w:rFonts w:cs="Times New Roman"/>
      <w:kern w:val="2"/>
      <w:sz w:val="24"/>
      <w:szCs w:val="24"/>
    </w:rPr>
  </w:style>
  <w:style w:type="character" w:customStyle="1" w:styleId="76">
    <w:name w:val="Body Text Indent Char"/>
    <w:autoRedefine/>
    <w:qFormat/>
    <w:locked/>
    <w:uiPriority w:val="0"/>
    <w:rPr>
      <w:rFonts w:ascii="宋体" w:hAnsi="宋体" w:eastAsia="宋体" w:cs="Times New Roman"/>
      <w:kern w:val="2"/>
      <w:sz w:val="21"/>
      <w:lang w:val="en-US" w:eastAsia="zh-CN"/>
    </w:rPr>
  </w:style>
  <w:style w:type="character" w:customStyle="1" w:styleId="77">
    <w:name w:val="Plain Text Char"/>
    <w:autoRedefine/>
    <w:qFormat/>
    <w:locked/>
    <w:uiPriority w:val="0"/>
    <w:rPr>
      <w:rFonts w:ascii="宋体" w:hAnsi="Courier New" w:eastAsia="宋体" w:cs="Times New Roman"/>
      <w:sz w:val="24"/>
    </w:rPr>
  </w:style>
  <w:style w:type="character" w:customStyle="1" w:styleId="78">
    <w:name w:val="Date Char"/>
    <w:autoRedefine/>
    <w:qFormat/>
    <w:locked/>
    <w:uiPriority w:val="0"/>
    <w:rPr>
      <w:rFonts w:ascii="Times New Roman" w:hAnsi="Times New Roman" w:eastAsia="宋体" w:cs="Times New Roman"/>
      <w:kern w:val="2"/>
      <w:sz w:val="24"/>
      <w:lang w:val="en-US" w:eastAsia="zh-CN"/>
    </w:rPr>
  </w:style>
  <w:style w:type="character" w:customStyle="1" w:styleId="79">
    <w:name w:val="Body Text Indent 2 Char"/>
    <w:autoRedefine/>
    <w:qFormat/>
    <w:locked/>
    <w:uiPriority w:val="0"/>
    <w:rPr>
      <w:rFonts w:ascii="Times New Roman" w:hAnsi="Times New Roman" w:eastAsia="宋体" w:cs="Times New Roman"/>
      <w:kern w:val="2"/>
      <w:sz w:val="24"/>
      <w:lang w:val="en-US" w:eastAsia="zh-CN"/>
    </w:rPr>
  </w:style>
  <w:style w:type="character" w:customStyle="1" w:styleId="80">
    <w:name w:val="尾注文本 字符"/>
    <w:link w:val="31"/>
    <w:autoRedefine/>
    <w:qFormat/>
    <w:locked/>
    <w:uiPriority w:val="0"/>
    <w:rPr>
      <w:rFonts w:cs="Times New Roman"/>
      <w:b/>
      <w:kern w:val="2"/>
      <w:sz w:val="24"/>
    </w:rPr>
  </w:style>
  <w:style w:type="character" w:customStyle="1" w:styleId="81">
    <w:name w:val="Balloon Text Char"/>
    <w:autoRedefine/>
    <w:qFormat/>
    <w:locked/>
    <w:uiPriority w:val="0"/>
    <w:rPr>
      <w:rFonts w:ascii="Times New Roman" w:hAnsi="Times New Roman" w:eastAsia="宋体" w:cs="Times New Roman"/>
      <w:sz w:val="18"/>
    </w:rPr>
  </w:style>
  <w:style w:type="character" w:customStyle="1" w:styleId="82">
    <w:name w:val="Footer Char"/>
    <w:autoRedefine/>
    <w:qFormat/>
    <w:locked/>
    <w:uiPriority w:val="0"/>
    <w:rPr>
      <w:rFonts w:ascii="Times New Roman" w:hAnsi="Times New Roman" w:eastAsia="宋体" w:cs="Times New Roman"/>
      <w:kern w:val="2"/>
      <w:sz w:val="18"/>
      <w:lang w:val="en-US" w:eastAsia="zh-CN"/>
    </w:rPr>
  </w:style>
  <w:style w:type="character" w:customStyle="1" w:styleId="83">
    <w:name w:val="Header Char"/>
    <w:autoRedefine/>
    <w:qFormat/>
    <w:locked/>
    <w:uiPriority w:val="0"/>
    <w:rPr>
      <w:rFonts w:ascii="Times New Roman" w:hAnsi="Times New Roman" w:eastAsia="宋体" w:cs="Times New Roman"/>
      <w:kern w:val="2"/>
      <w:sz w:val="18"/>
      <w:lang w:val="en-US" w:eastAsia="zh-CN"/>
    </w:rPr>
  </w:style>
  <w:style w:type="character" w:customStyle="1" w:styleId="84">
    <w:name w:val="副标题 字符"/>
    <w:link w:val="37"/>
    <w:autoRedefine/>
    <w:qFormat/>
    <w:locked/>
    <w:uiPriority w:val="0"/>
    <w:rPr>
      <w:rFonts w:ascii="Cambria" w:hAnsi="Cambria" w:cs="Times New Roman"/>
      <w:b/>
      <w:kern w:val="28"/>
      <w:sz w:val="32"/>
    </w:rPr>
  </w:style>
  <w:style w:type="character" w:customStyle="1" w:styleId="85">
    <w:name w:val="Footnote Text Char"/>
    <w:autoRedefine/>
    <w:qFormat/>
    <w:locked/>
    <w:uiPriority w:val="0"/>
    <w:rPr>
      <w:rFonts w:ascii="Times New Roman" w:hAnsi="Times New Roman" w:eastAsia="宋体" w:cs="Times New Roman"/>
      <w:sz w:val="18"/>
      <w:lang w:val="en-US" w:eastAsia="zh-CN"/>
    </w:rPr>
  </w:style>
  <w:style w:type="character" w:customStyle="1" w:styleId="86">
    <w:name w:val="正文文本缩进 3 字符"/>
    <w:link w:val="40"/>
    <w:autoRedefine/>
    <w:qFormat/>
    <w:locked/>
    <w:uiPriority w:val="0"/>
    <w:rPr>
      <w:rFonts w:cs="Times New Roman"/>
      <w:sz w:val="24"/>
    </w:rPr>
  </w:style>
  <w:style w:type="character" w:customStyle="1" w:styleId="87">
    <w:name w:val="正文文本 2 字符"/>
    <w:link w:val="42"/>
    <w:autoRedefine/>
    <w:qFormat/>
    <w:locked/>
    <w:uiPriority w:val="0"/>
    <w:rPr>
      <w:rFonts w:cs="Times New Roman"/>
      <w:kern w:val="2"/>
      <w:sz w:val="24"/>
    </w:rPr>
  </w:style>
  <w:style w:type="character" w:customStyle="1" w:styleId="88">
    <w:name w:val="HTML 预设格式 字符"/>
    <w:link w:val="43"/>
    <w:autoRedefine/>
    <w:qFormat/>
    <w:locked/>
    <w:uiPriority w:val="0"/>
    <w:rPr>
      <w:rFonts w:ascii="宋体" w:eastAsia="宋体" w:cs="Times New Roman"/>
      <w:sz w:val="24"/>
    </w:rPr>
  </w:style>
  <w:style w:type="character" w:customStyle="1" w:styleId="89">
    <w:name w:val="Title Char"/>
    <w:autoRedefine/>
    <w:qFormat/>
    <w:locked/>
    <w:uiPriority w:val="0"/>
    <w:rPr>
      <w:rFonts w:ascii="Cambria" w:hAnsi="Cambria" w:eastAsia="宋体" w:cs="Times New Roman"/>
      <w:b/>
      <w:sz w:val="32"/>
    </w:rPr>
  </w:style>
  <w:style w:type="character" w:customStyle="1" w:styleId="90">
    <w:name w:val="Comment Subject Char"/>
    <w:autoRedefine/>
    <w:qFormat/>
    <w:locked/>
    <w:uiPriority w:val="0"/>
    <w:rPr>
      <w:rFonts w:ascii="Times New Roman" w:hAnsi="Times New Roman" w:eastAsia="宋体" w:cs="Times New Roman"/>
      <w:b/>
      <w:sz w:val="24"/>
    </w:rPr>
  </w:style>
  <w:style w:type="character" w:customStyle="1" w:styleId="91">
    <w:name w:val="正文文本首行缩进 字符"/>
    <w:link w:val="47"/>
    <w:autoRedefine/>
    <w:qFormat/>
    <w:locked/>
    <w:uiPriority w:val="0"/>
    <w:rPr>
      <w:rFonts w:cs="Times New Roman"/>
      <w:kern w:val="2"/>
      <w:sz w:val="24"/>
      <w:szCs w:val="24"/>
    </w:rPr>
  </w:style>
  <w:style w:type="character" w:customStyle="1" w:styleId="92">
    <w:name w:val="正文文本首行缩进 2 字符"/>
    <w:link w:val="48"/>
    <w:autoRedefine/>
    <w:qFormat/>
    <w:locked/>
    <w:uiPriority w:val="0"/>
    <w:rPr>
      <w:rFonts w:ascii="宋体" w:hAnsi="宋体" w:eastAsia="宋体" w:cs="Times New Roman"/>
      <w:kern w:val="2"/>
      <w:sz w:val="24"/>
      <w:lang w:val="en-US" w:eastAsia="zh-CN"/>
    </w:rPr>
  </w:style>
  <w:style w:type="character" w:customStyle="1" w:styleId="93">
    <w:name w:val="页眉 字符"/>
    <w:link w:val="34"/>
    <w:autoRedefine/>
    <w:qFormat/>
    <w:locked/>
    <w:uiPriority w:val="99"/>
    <w:rPr>
      <w:rFonts w:cs="Times New Roman"/>
      <w:sz w:val="18"/>
      <w:szCs w:val="18"/>
    </w:rPr>
  </w:style>
  <w:style w:type="character" w:customStyle="1" w:styleId="94">
    <w:name w:val="页脚 字符"/>
    <w:link w:val="33"/>
    <w:autoRedefine/>
    <w:qFormat/>
    <w:locked/>
    <w:uiPriority w:val="99"/>
    <w:rPr>
      <w:rFonts w:cs="Times New Roman"/>
      <w:sz w:val="18"/>
      <w:szCs w:val="18"/>
    </w:rPr>
  </w:style>
  <w:style w:type="character" w:customStyle="1" w:styleId="95">
    <w:name w:val="标题 1 Char"/>
    <w:autoRedefine/>
    <w:qFormat/>
    <w:uiPriority w:val="0"/>
    <w:rPr>
      <w:rFonts w:ascii="Times New Roman" w:hAnsi="Times New Roman" w:eastAsia="宋体" w:cs="Times New Roman"/>
      <w:b/>
      <w:bCs/>
      <w:kern w:val="44"/>
      <w:sz w:val="44"/>
      <w:szCs w:val="44"/>
    </w:rPr>
  </w:style>
  <w:style w:type="character" w:customStyle="1" w:styleId="96">
    <w:name w:val="标题 2 Char"/>
    <w:autoRedefine/>
    <w:qFormat/>
    <w:uiPriority w:val="9"/>
    <w:rPr>
      <w:rFonts w:ascii="Calibri Light" w:hAnsi="Calibri Light" w:eastAsia="宋体" w:cs="Times New Roman"/>
      <w:b/>
      <w:bCs/>
      <w:sz w:val="32"/>
      <w:szCs w:val="32"/>
    </w:rPr>
  </w:style>
  <w:style w:type="character" w:customStyle="1" w:styleId="97">
    <w:name w:val="标题 3 Char"/>
    <w:autoRedefine/>
    <w:qFormat/>
    <w:uiPriority w:val="0"/>
    <w:rPr>
      <w:rFonts w:ascii="Times New Roman" w:hAnsi="Times New Roman" w:eastAsia="宋体" w:cs="Times New Roman"/>
      <w:b/>
      <w:bCs/>
      <w:sz w:val="32"/>
      <w:szCs w:val="32"/>
    </w:rPr>
  </w:style>
  <w:style w:type="character" w:customStyle="1" w:styleId="98">
    <w:name w:val="页眉 Char1"/>
    <w:autoRedefine/>
    <w:qFormat/>
    <w:uiPriority w:val="0"/>
    <w:rPr>
      <w:rFonts w:ascii="Times New Roman" w:hAnsi="Times New Roman" w:eastAsia="宋体"/>
      <w:sz w:val="18"/>
      <w:lang w:val="en-US" w:eastAsia="zh-CN"/>
    </w:rPr>
  </w:style>
  <w:style w:type="character" w:customStyle="1" w:styleId="99">
    <w:name w:val="普通(网站) 字符"/>
    <w:link w:val="44"/>
    <w:autoRedefine/>
    <w:qFormat/>
    <w:locked/>
    <w:uiPriority w:val="99"/>
    <w:rPr>
      <w:rFonts w:ascii="Times New Roman" w:hAnsi="Times New Roman" w:eastAsia="宋体"/>
      <w:sz w:val="24"/>
    </w:rPr>
  </w:style>
  <w:style w:type="character" w:customStyle="1" w:styleId="100">
    <w:name w:val="ca-3"/>
    <w:autoRedefine/>
    <w:qFormat/>
    <w:uiPriority w:val="99"/>
    <w:rPr>
      <w:rFonts w:ascii="Times New Roman" w:hAnsi="Times New Roman" w:eastAsia="宋体"/>
    </w:rPr>
  </w:style>
  <w:style w:type="character" w:customStyle="1" w:styleId="101">
    <w:name w:val="纯文本 字符"/>
    <w:link w:val="27"/>
    <w:autoRedefine/>
    <w:qFormat/>
    <w:locked/>
    <w:uiPriority w:val="99"/>
    <w:rPr>
      <w:rFonts w:ascii="宋体" w:hAnsi="Courier New" w:eastAsia="宋体"/>
    </w:rPr>
  </w:style>
  <w:style w:type="character" w:customStyle="1" w:styleId="102">
    <w:name w:val="标题 3 字符"/>
    <w:link w:val="6"/>
    <w:autoRedefine/>
    <w:qFormat/>
    <w:locked/>
    <w:uiPriority w:val="99"/>
    <w:rPr>
      <w:rFonts w:ascii="Times New Roman" w:hAnsi="Times New Roman" w:eastAsia="宋体"/>
      <w:b/>
      <w:sz w:val="32"/>
    </w:rPr>
  </w:style>
  <w:style w:type="character" w:customStyle="1" w:styleId="103">
    <w:name w:val="页脚 Char1"/>
    <w:autoRedefine/>
    <w:qFormat/>
    <w:uiPriority w:val="0"/>
    <w:rPr>
      <w:rFonts w:ascii="Times New Roman" w:hAnsi="Times New Roman" w:eastAsia="宋体"/>
      <w:kern w:val="2"/>
      <w:sz w:val="18"/>
      <w:lang w:val="en-US" w:eastAsia="zh-CN"/>
    </w:rPr>
  </w:style>
  <w:style w:type="character" w:customStyle="1" w:styleId="104">
    <w:name w:val="标题 1 字符"/>
    <w:link w:val="4"/>
    <w:autoRedefine/>
    <w:qFormat/>
    <w:locked/>
    <w:uiPriority w:val="0"/>
    <w:rPr>
      <w:rFonts w:ascii="Arial" w:hAnsi="Arial" w:eastAsia="黑体"/>
      <w:b/>
      <w:kern w:val="28"/>
      <w:sz w:val="36"/>
    </w:rPr>
  </w:style>
  <w:style w:type="character" w:customStyle="1" w:styleId="105">
    <w:name w:val="标题 2 字符"/>
    <w:link w:val="5"/>
    <w:autoRedefine/>
    <w:qFormat/>
    <w:locked/>
    <w:uiPriority w:val="99"/>
    <w:rPr>
      <w:rFonts w:ascii="Arial" w:hAnsi="Arial" w:eastAsia="黑体"/>
      <w:b/>
      <w:kern w:val="2"/>
      <w:sz w:val="32"/>
    </w:rPr>
  </w:style>
  <w:style w:type="paragraph" w:customStyle="1" w:styleId="106">
    <w:name w:val="wg表头（仿宋_GB2312 小四 加粗 居中）"/>
    <w:basedOn w:val="1"/>
    <w:autoRedefine/>
    <w:qFormat/>
    <w:uiPriority w:val="99"/>
    <w:pPr>
      <w:jc w:val="center"/>
    </w:pPr>
    <w:rPr>
      <w:rFonts w:ascii="仿宋_GB2312" w:hAnsi="宋体" w:eastAsia="仿宋_GB2312" w:cs="宋体"/>
      <w:b/>
      <w:bCs/>
      <w:sz w:val="24"/>
      <w:szCs w:val="20"/>
    </w:rPr>
  </w:style>
  <w:style w:type="character" w:customStyle="1" w:styleId="107">
    <w:name w:val="纯文本 Char"/>
    <w:autoRedefine/>
    <w:qFormat/>
    <w:uiPriority w:val="0"/>
    <w:rPr>
      <w:rFonts w:ascii="宋体" w:hAnsi="Courier New" w:eastAsia="宋体" w:cs="Courier New"/>
      <w:sz w:val="21"/>
      <w:szCs w:val="21"/>
    </w:rPr>
  </w:style>
  <w:style w:type="paragraph" w:styleId="108">
    <w:name w:val="List Paragraph"/>
    <w:basedOn w:val="1"/>
    <w:link w:val="117"/>
    <w:autoRedefine/>
    <w:qFormat/>
    <w:uiPriority w:val="0"/>
    <w:pPr>
      <w:ind w:firstLine="420"/>
    </w:pPr>
    <w:rPr>
      <w:sz w:val="24"/>
      <w:szCs w:val="20"/>
    </w:rPr>
  </w:style>
  <w:style w:type="character" w:customStyle="1" w:styleId="109">
    <w:name w:val="批注框文本 字符"/>
    <w:link w:val="32"/>
    <w:autoRedefine/>
    <w:qFormat/>
    <w:locked/>
    <w:uiPriority w:val="0"/>
    <w:rPr>
      <w:rFonts w:ascii="Times New Roman" w:hAnsi="Times New Roman" w:eastAsia="宋体" w:cs="Times New Roman"/>
      <w:kern w:val="2"/>
      <w:sz w:val="18"/>
      <w:szCs w:val="18"/>
    </w:rPr>
  </w:style>
  <w:style w:type="paragraph" w:customStyle="1" w:styleId="110">
    <w:name w:val="_Style 50"/>
    <w:basedOn w:val="1"/>
    <w:autoRedefine/>
    <w:qFormat/>
    <w:uiPriority w:val="99"/>
    <w:pPr>
      <w:widowControl/>
      <w:spacing w:after="160" w:line="240" w:lineRule="exact"/>
      <w:jc w:val="left"/>
    </w:pPr>
    <w:rPr>
      <w:kern w:val="0"/>
      <w:sz w:val="22"/>
      <w:szCs w:val="22"/>
      <w:lang w:eastAsia="en-US"/>
    </w:rPr>
  </w:style>
  <w:style w:type="character" w:customStyle="1" w:styleId="111">
    <w:name w:val="批注文字 字符"/>
    <w:link w:val="19"/>
    <w:autoRedefine/>
    <w:qFormat/>
    <w:locked/>
    <w:uiPriority w:val="0"/>
    <w:rPr>
      <w:rFonts w:cs="Times New Roman"/>
      <w:kern w:val="2"/>
      <w:sz w:val="24"/>
      <w:szCs w:val="24"/>
    </w:rPr>
  </w:style>
  <w:style w:type="character" w:customStyle="1" w:styleId="112">
    <w:name w:val="批注主题 字符"/>
    <w:link w:val="46"/>
    <w:autoRedefine/>
    <w:qFormat/>
    <w:locked/>
    <w:uiPriority w:val="0"/>
    <w:rPr>
      <w:rFonts w:cs="Times New Roman"/>
      <w:b/>
      <w:bCs/>
      <w:kern w:val="2"/>
      <w:sz w:val="24"/>
      <w:szCs w:val="24"/>
    </w:rPr>
  </w:style>
  <w:style w:type="character" w:customStyle="1" w:styleId="113">
    <w:name w:val="标题 3 Char1"/>
    <w:autoRedefine/>
    <w:qFormat/>
    <w:uiPriority w:val="0"/>
    <w:rPr>
      <w:rFonts w:ascii="Times New Roman" w:hAnsi="Times New Roman" w:eastAsia="宋体"/>
      <w:b/>
      <w:kern w:val="2"/>
      <w:sz w:val="32"/>
      <w:lang w:val="en-US" w:eastAsia="zh-CN"/>
    </w:rPr>
  </w:style>
  <w:style w:type="character" w:customStyle="1" w:styleId="114">
    <w:name w:val="正文缩进 字符"/>
    <w:link w:val="15"/>
    <w:autoRedefine/>
    <w:qFormat/>
    <w:locked/>
    <w:uiPriority w:val="0"/>
    <w:rPr>
      <w:rFonts w:ascii="宋体" w:eastAsia="宋体"/>
      <w:kern w:val="2"/>
      <w:sz w:val="30"/>
    </w:rPr>
  </w:style>
  <w:style w:type="character" w:customStyle="1" w:styleId="115">
    <w:name w:val="正文1"/>
    <w:autoRedefine/>
    <w:qFormat/>
    <w:uiPriority w:val="99"/>
    <w:rPr>
      <w:rFonts w:ascii="Arial" w:hAnsi="Arial" w:eastAsia="宋体"/>
      <w:b/>
      <w:kern w:val="2"/>
      <w:sz w:val="32"/>
      <w:lang w:val="en-US" w:eastAsia="zh-CN"/>
    </w:rPr>
  </w:style>
  <w:style w:type="paragraph" w:customStyle="1" w:styleId="116">
    <w:name w:val="纯文本1"/>
    <w:basedOn w:val="1"/>
    <w:autoRedefine/>
    <w:qFormat/>
    <w:uiPriority w:val="99"/>
    <w:pPr>
      <w:adjustRightInd w:val="0"/>
      <w:textAlignment w:val="baseline"/>
    </w:pPr>
    <w:rPr>
      <w:rFonts w:ascii="宋体" w:hAnsi="Courier New" w:eastAsia="楷体_GB2312"/>
      <w:sz w:val="26"/>
      <w:szCs w:val="20"/>
    </w:rPr>
  </w:style>
  <w:style w:type="character" w:customStyle="1" w:styleId="117">
    <w:name w:val="列表段落 字符"/>
    <w:link w:val="108"/>
    <w:autoRedefine/>
    <w:qFormat/>
    <w:locked/>
    <w:uiPriority w:val="99"/>
    <w:rPr>
      <w:kern w:val="2"/>
      <w:sz w:val="24"/>
    </w:rPr>
  </w:style>
  <w:style w:type="paragraph" w:customStyle="1" w:styleId="118">
    <w:name w:val="3"/>
    <w:basedOn w:val="1"/>
    <w:next w:val="108"/>
    <w:autoRedefine/>
    <w:qFormat/>
    <w:uiPriority w:val="99"/>
    <w:pPr>
      <w:spacing w:line="480" w:lineRule="auto"/>
    </w:pPr>
    <w:rPr>
      <w:sz w:val="28"/>
      <w:szCs w:val="22"/>
    </w:rPr>
  </w:style>
  <w:style w:type="character" w:customStyle="1" w:styleId="119">
    <w:name w:val="日期 字符1"/>
    <w:link w:val="29"/>
    <w:autoRedefine/>
    <w:qFormat/>
    <w:locked/>
    <w:uiPriority w:val="0"/>
    <w:rPr>
      <w:kern w:val="2"/>
      <w:sz w:val="24"/>
    </w:rPr>
  </w:style>
  <w:style w:type="character" w:customStyle="1" w:styleId="120">
    <w:name w:val="日期 字符"/>
    <w:autoRedefine/>
    <w:qFormat/>
    <w:uiPriority w:val="99"/>
    <w:rPr>
      <w:rFonts w:cs="Times New Roman"/>
      <w:kern w:val="2"/>
      <w:sz w:val="24"/>
      <w:szCs w:val="24"/>
    </w:rPr>
  </w:style>
  <w:style w:type="character" w:customStyle="1" w:styleId="121">
    <w:name w:val="批注文字 Char3"/>
    <w:autoRedefine/>
    <w:qFormat/>
    <w:uiPriority w:val="0"/>
    <w:rPr>
      <w:rFonts w:ascii="Times New Roman" w:hAnsi="Times New Roman" w:eastAsia="宋体"/>
      <w:kern w:val="2"/>
      <w:sz w:val="24"/>
      <w:lang w:val="en-US" w:eastAsia="zh-CN"/>
    </w:rPr>
  </w:style>
  <w:style w:type="paragraph" w:customStyle="1" w:styleId="122">
    <w:name w:val="修订1"/>
    <w:autoRedefine/>
    <w:hidden/>
    <w:qFormat/>
    <w:uiPriority w:val="99"/>
    <w:pPr>
      <w:spacing w:line="400" w:lineRule="exact"/>
      <w:ind w:firstLine="200" w:firstLineChars="200"/>
    </w:pPr>
    <w:rPr>
      <w:rFonts w:ascii="Times New Roman" w:hAnsi="Times New Roman" w:eastAsia="宋体" w:cs="Times New Roman"/>
      <w:kern w:val="2"/>
      <w:sz w:val="21"/>
      <w:szCs w:val="24"/>
      <w:lang w:val="en-US" w:eastAsia="zh-CN" w:bidi="ar-SA"/>
    </w:rPr>
  </w:style>
  <w:style w:type="character" w:customStyle="1" w:styleId="123">
    <w:name w:val="标题 4 字符"/>
    <w:link w:val="7"/>
    <w:autoRedefine/>
    <w:qFormat/>
    <w:locked/>
    <w:uiPriority w:val="0"/>
    <w:rPr>
      <w:rFonts w:ascii="Arial" w:hAnsi="Arial" w:cs="Times New Roman"/>
      <w:b/>
      <w:bCs/>
      <w:kern w:val="2"/>
      <w:sz w:val="28"/>
      <w:szCs w:val="28"/>
    </w:rPr>
  </w:style>
  <w:style w:type="character" w:customStyle="1" w:styleId="124">
    <w:name w:val="标题 5 字符"/>
    <w:link w:val="8"/>
    <w:autoRedefine/>
    <w:qFormat/>
    <w:locked/>
    <w:uiPriority w:val="0"/>
    <w:rPr>
      <w:rFonts w:cs="Times New Roman"/>
      <w:b/>
      <w:bCs/>
      <w:kern w:val="2"/>
      <w:sz w:val="28"/>
      <w:szCs w:val="28"/>
    </w:rPr>
  </w:style>
  <w:style w:type="character" w:customStyle="1" w:styleId="125">
    <w:name w:val="Char Char5"/>
    <w:autoRedefine/>
    <w:qFormat/>
    <w:uiPriority w:val="0"/>
    <w:rPr>
      <w:rFonts w:ascii="Cambria" w:hAnsi="Cambria" w:eastAsia="宋体"/>
      <w:b/>
      <w:kern w:val="2"/>
      <w:sz w:val="32"/>
      <w:lang w:val="en-US" w:eastAsia="zh-CN"/>
    </w:rPr>
  </w:style>
  <w:style w:type="character" w:customStyle="1" w:styleId="126">
    <w:name w:val="Char Char8"/>
    <w:autoRedefine/>
    <w:qFormat/>
    <w:uiPriority w:val="0"/>
    <w:rPr>
      <w:rFonts w:ascii="宋体" w:hAnsi="宋体" w:eastAsia="宋体"/>
      <w:kern w:val="2"/>
      <w:sz w:val="24"/>
      <w:lang w:val="en-US" w:eastAsia="zh-CN"/>
    </w:rPr>
  </w:style>
  <w:style w:type="character" w:customStyle="1" w:styleId="127">
    <w:name w:val="正文首缩两字 Char Char"/>
    <w:autoRedefine/>
    <w:qFormat/>
    <w:uiPriority w:val="0"/>
    <w:rPr>
      <w:rFonts w:ascii="Verdana" w:hAnsi="Verdana" w:eastAsia="宋体"/>
      <w:kern w:val="2"/>
      <w:sz w:val="24"/>
    </w:rPr>
  </w:style>
  <w:style w:type="character" w:customStyle="1" w:styleId="128">
    <w:name w:val="正文首行缩进 Char1"/>
    <w:autoRedefine/>
    <w:qFormat/>
    <w:uiPriority w:val="0"/>
    <w:rPr>
      <w:rFonts w:ascii="Times New Roman" w:hAnsi="Times New Roman" w:eastAsia="宋体"/>
      <w:kern w:val="2"/>
      <w:sz w:val="24"/>
      <w:lang w:val="en-US" w:eastAsia="zh-CN"/>
    </w:rPr>
  </w:style>
  <w:style w:type="character" w:customStyle="1" w:styleId="129">
    <w:name w:val="Intense Quote Char"/>
    <w:autoRedefine/>
    <w:qFormat/>
    <w:uiPriority w:val="0"/>
    <w:rPr>
      <w:rFonts w:ascii="Times New Roman" w:hAnsi="Times New Roman" w:eastAsia="宋体"/>
      <w:b/>
      <w:i/>
      <w:color w:val="4F81BD"/>
      <w:kern w:val="2"/>
      <w:sz w:val="24"/>
    </w:rPr>
  </w:style>
  <w:style w:type="character" w:customStyle="1" w:styleId="130">
    <w:name w:val="纯文本 Char1"/>
    <w:autoRedefine/>
    <w:qFormat/>
    <w:uiPriority w:val="0"/>
    <w:rPr>
      <w:rFonts w:ascii="宋体" w:hAnsi="Courier New" w:eastAsia="宋体"/>
      <w:sz w:val="21"/>
    </w:rPr>
  </w:style>
  <w:style w:type="character" w:customStyle="1" w:styleId="131">
    <w:name w:val="Char Char25"/>
    <w:autoRedefine/>
    <w:qFormat/>
    <w:uiPriority w:val="0"/>
    <w:rPr>
      <w:rFonts w:ascii="宋体" w:hAnsi="宋体" w:eastAsia="宋体"/>
      <w:b/>
      <w:kern w:val="2"/>
      <w:sz w:val="32"/>
    </w:rPr>
  </w:style>
  <w:style w:type="character" w:customStyle="1" w:styleId="132">
    <w:name w:val="日期 Char Char"/>
    <w:autoRedefine/>
    <w:qFormat/>
    <w:uiPriority w:val="0"/>
    <w:rPr>
      <w:rFonts w:ascii="仿宋_GB2312" w:hAnsi="Times New Roman" w:eastAsia="仿宋_GB2312"/>
      <w:kern w:val="2"/>
      <w:sz w:val="24"/>
      <w:lang w:val="en-US" w:eastAsia="zh-CN"/>
    </w:rPr>
  </w:style>
  <w:style w:type="character" w:customStyle="1" w:styleId="133">
    <w:name w:val="普通文字 Char Char1"/>
    <w:autoRedefine/>
    <w:qFormat/>
    <w:uiPriority w:val="0"/>
    <w:rPr>
      <w:rFonts w:ascii="宋体" w:hAnsi="Courier New" w:eastAsia="宋体"/>
      <w:kern w:val="2"/>
      <w:sz w:val="21"/>
      <w:lang w:val="en-US" w:eastAsia="zh-CN"/>
    </w:rPr>
  </w:style>
  <w:style w:type="character" w:customStyle="1" w:styleId="134">
    <w:name w:val="Char Char181"/>
    <w:autoRedefine/>
    <w:qFormat/>
    <w:uiPriority w:val="0"/>
    <w:rPr>
      <w:rFonts w:ascii="Times New Roman" w:hAnsi="Times New Roman" w:eastAsia="宋体"/>
      <w:b/>
      <w:kern w:val="44"/>
      <w:sz w:val="44"/>
    </w:rPr>
  </w:style>
  <w:style w:type="character" w:customStyle="1" w:styleId="135">
    <w:name w:val="ꌢ 2 Char"/>
    <w:autoRedefine/>
    <w:qFormat/>
    <w:uiPriority w:val="0"/>
    <w:rPr>
      <w:rFonts w:ascii="Arial" w:hAnsi="Arial" w:eastAsia="宋体"/>
      <w:b/>
    </w:rPr>
  </w:style>
  <w:style w:type="character" w:customStyle="1" w:styleId="136">
    <w:name w:val="普通文字 Char Char"/>
    <w:autoRedefine/>
    <w:qFormat/>
    <w:uiPriority w:val="0"/>
    <w:rPr>
      <w:rFonts w:ascii="宋体" w:hAnsi="Courier New" w:eastAsia="宋体"/>
      <w:kern w:val="2"/>
      <w:sz w:val="21"/>
      <w:lang w:val="en-US" w:eastAsia="zh-CN"/>
    </w:rPr>
  </w:style>
  <w:style w:type="character" w:customStyle="1" w:styleId="137">
    <w:name w:val="标题 8 Char Char"/>
    <w:autoRedefine/>
    <w:qFormat/>
    <w:uiPriority w:val="0"/>
    <w:rPr>
      <w:rFonts w:ascii="Cambria" w:hAnsi="Cambria" w:eastAsia="宋体"/>
      <w:kern w:val="2"/>
      <w:sz w:val="24"/>
    </w:rPr>
  </w:style>
  <w:style w:type="character" w:customStyle="1" w:styleId="138">
    <w:name w:val="脚注文本 Char1"/>
    <w:autoRedefine/>
    <w:qFormat/>
    <w:uiPriority w:val="99"/>
    <w:rPr>
      <w:rFonts w:ascii="Times New Roman" w:hAnsi="Times New Roman" w:eastAsia="宋体"/>
      <w:sz w:val="18"/>
    </w:rPr>
  </w:style>
  <w:style w:type="character" w:customStyle="1" w:styleId="139">
    <w:name w:val="Char Char6"/>
    <w:autoRedefine/>
    <w:qFormat/>
    <w:uiPriority w:val="0"/>
    <w:rPr>
      <w:rFonts w:ascii="Times New Roman" w:hAnsi="Times New Roman" w:eastAsia="宋体"/>
      <w:b/>
      <w:kern w:val="44"/>
      <w:sz w:val="44"/>
      <w:lang w:val="en-US" w:eastAsia="zh-CN"/>
    </w:rPr>
  </w:style>
  <w:style w:type="character" w:customStyle="1" w:styleId="140">
    <w:name w:val="Char Char9"/>
    <w:autoRedefine/>
    <w:qFormat/>
    <w:uiPriority w:val="0"/>
    <w:rPr>
      <w:rFonts w:ascii="Times New Roman" w:hAnsi="Times New Roman" w:eastAsia="宋体"/>
      <w:b/>
      <w:kern w:val="44"/>
      <w:sz w:val="44"/>
      <w:lang w:val="en-US" w:eastAsia="zh-CN"/>
    </w:rPr>
  </w:style>
  <w:style w:type="character" w:customStyle="1" w:styleId="141">
    <w:name w:val="Quote Char1"/>
    <w:autoRedefine/>
    <w:qFormat/>
    <w:locked/>
    <w:uiPriority w:val="99"/>
    <w:rPr>
      <w:i/>
      <w:color w:val="000000"/>
    </w:rPr>
  </w:style>
  <w:style w:type="paragraph" w:styleId="142">
    <w:name w:val="Quote"/>
    <w:basedOn w:val="1"/>
    <w:next w:val="1"/>
    <w:link w:val="143"/>
    <w:autoRedefine/>
    <w:qFormat/>
    <w:uiPriority w:val="0"/>
    <w:rPr>
      <w:i/>
      <w:color w:val="000000"/>
      <w:kern w:val="0"/>
      <w:sz w:val="20"/>
      <w:szCs w:val="20"/>
    </w:rPr>
  </w:style>
  <w:style w:type="character" w:customStyle="1" w:styleId="143">
    <w:name w:val="引用 字符"/>
    <w:link w:val="142"/>
    <w:autoRedefine/>
    <w:qFormat/>
    <w:locked/>
    <w:uiPriority w:val="0"/>
    <w:rPr>
      <w:rFonts w:ascii="Times New Roman" w:hAnsi="Times New Roman" w:eastAsia="宋体" w:cs="Times New Roman"/>
      <w:i/>
      <w:color w:val="000000"/>
      <w:kern w:val="2"/>
      <w:sz w:val="24"/>
    </w:rPr>
  </w:style>
  <w:style w:type="character" w:customStyle="1" w:styleId="144">
    <w:name w:val="16"/>
    <w:basedOn w:val="51"/>
    <w:autoRedefine/>
    <w:qFormat/>
    <w:uiPriority w:val="0"/>
    <w:rPr>
      <w:rFonts w:ascii="Times New Roman" w:hAnsi="Times New Roman" w:eastAsia="宋体"/>
      <w:i/>
    </w:rPr>
  </w:style>
  <w:style w:type="character" w:customStyle="1" w:styleId="145">
    <w:name w:val="引用 Char2"/>
    <w:autoRedefine/>
    <w:qFormat/>
    <w:uiPriority w:val="0"/>
    <w:rPr>
      <w:rFonts w:ascii="Times New Roman" w:hAnsi="Times New Roman" w:eastAsia="宋体"/>
      <w:i/>
      <w:color w:val="000000"/>
      <w:kern w:val="2"/>
      <w:sz w:val="24"/>
    </w:rPr>
  </w:style>
  <w:style w:type="character" w:customStyle="1" w:styleId="146">
    <w:name w:val="z-窗体顶端 Char"/>
    <w:autoRedefine/>
    <w:qFormat/>
    <w:uiPriority w:val="0"/>
    <w:rPr>
      <w:rFonts w:ascii="Arial" w:hAnsi="Arial" w:eastAsia="宋体"/>
      <w:vanish/>
      <w:sz w:val="16"/>
    </w:rPr>
  </w:style>
  <w:style w:type="character" w:customStyle="1" w:styleId="147">
    <w:name w:val="Char Char31"/>
    <w:autoRedefine/>
    <w:qFormat/>
    <w:uiPriority w:val="0"/>
    <w:rPr>
      <w:rFonts w:ascii="宋体" w:hAnsi="宋体" w:eastAsia="宋体"/>
      <w:kern w:val="2"/>
      <w:sz w:val="24"/>
      <w:lang w:val="en-US" w:eastAsia="zh-CN"/>
    </w:rPr>
  </w:style>
  <w:style w:type="character" w:customStyle="1" w:styleId="148">
    <w:name w:val="批注文字 Char Char"/>
    <w:autoRedefine/>
    <w:qFormat/>
    <w:uiPriority w:val="0"/>
    <w:rPr>
      <w:rFonts w:ascii="宋体" w:hAnsi="Times New Roman" w:eastAsia="宋体"/>
      <w:sz w:val="20"/>
    </w:rPr>
  </w:style>
  <w:style w:type="character" w:customStyle="1" w:styleId="149">
    <w:name w:val="批注主题 字符1"/>
    <w:autoRedefine/>
    <w:qFormat/>
    <w:uiPriority w:val="99"/>
    <w:rPr>
      <w:rFonts w:ascii="Times New Roman" w:hAnsi="Times New Roman" w:eastAsia="宋体"/>
      <w:b/>
      <w:kern w:val="2"/>
      <w:sz w:val="24"/>
    </w:rPr>
  </w:style>
  <w:style w:type="character" w:customStyle="1" w:styleId="150">
    <w:name w:val="明显引用 Char1"/>
    <w:autoRedefine/>
    <w:qFormat/>
    <w:uiPriority w:val="30"/>
    <w:rPr>
      <w:rFonts w:ascii="Times New Roman" w:hAnsi="Times New Roman" w:eastAsia="宋体"/>
      <w:b/>
      <w:i/>
      <w:color w:val="4F81BD"/>
      <w:sz w:val="24"/>
    </w:rPr>
  </w:style>
  <w:style w:type="character" w:customStyle="1" w:styleId="151">
    <w:name w:val="书籍标题1"/>
    <w:autoRedefine/>
    <w:qFormat/>
    <w:uiPriority w:val="0"/>
    <w:rPr>
      <w:rFonts w:ascii="Times New Roman" w:hAnsi="Times New Roman" w:eastAsia="宋体"/>
      <w:b/>
      <w:smallCaps/>
      <w:spacing w:val="5"/>
    </w:rPr>
  </w:style>
  <w:style w:type="character" w:customStyle="1" w:styleId="152">
    <w:name w:val="标题 1 Char1"/>
    <w:autoRedefine/>
    <w:qFormat/>
    <w:uiPriority w:val="0"/>
    <w:rPr>
      <w:rFonts w:ascii="Calibri" w:hAnsi="Calibri" w:eastAsia="宋体"/>
      <w:b/>
      <w:kern w:val="44"/>
      <w:sz w:val="20"/>
    </w:rPr>
  </w:style>
  <w:style w:type="character" w:customStyle="1" w:styleId="153">
    <w:name w:val="日期 Char2"/>
    <w:autoRedefine/>
    <w:qFormat/>
    <w:uiPriority w:val="0"/>
    <w:rPr>
      <w:rFonts w:ascii="Times New Roman" w:hAnsi="Times New Roman" w:eastAsia="宋体"/>
      <w:kern w:val="2"/>
      <w:sz w:val="24"/>
    </w:rPr>
  </w:style>
  <w:style w:type="character" w:customStyle="1" w:styleId="154">
    <w:name w:val="纯文本 Char4"/>
    <w:autoRedefine/>
    <w:qFormat/>
    <w:uiPriority w:val="0"/>
    <w:rPr>
      <w:rFonts w:ascii="宋体" w:hAnsi="Courier New" w:eastAsia="宋体"/>
      <w:kern w:val="2"/>
      <w:sz w:val="21"/>
      <w:lang w:val="en-US" w:eastAsia="zh-CN"/>
    </w:rPr>
  </w:style>
  <w:style w:type="character" w:customStyle="1" w:styleId="155">
    <w:name w:val="不明显参考1"/>
    <w:autoRedefine/>
    <w:qFormat/>
    <w:uiPriority w:val="0"/>
    <w:rPr>
      <w:rFonts w:ascii="Times New Roman" w:hAnsi="Times New Roman" w:eastAsia="宋体"/>
      <w:smallCaps/>
      <w:color w:val="C0504D"/>
      <w:u w:val="single"/>
    </w:rPr>
  </w:style>
  <w:style w:type="character" w:customStyle="1" w:styleId="156">
    <w:name w:val="Char Char7"/>
    <w:autoRedefine/>
    <w:qFormat/>
    <w:uiPriority w:val="0"/>
    <w:rPr>
      <w:rFonts w:ascii="Cambria" w:hAnsi="Cambria"/>
      <w:b/>
      <w:kern w:val="28"/>
      <w:sz w:val="32"/>
    </w:rPr>
  </w:style>
  <w:style w:type="character" w:customStyle="1" w:styleId="157">
    <w:name w:val="文档结构图 Char2"/>
    <w:autoRedefine/>
    <w:qFormat/>
    <w:uiPriority w:val="99"/>
    <w:rPr>
      <w:rFonts w:ascii="Microsoft YaHei UI" w:hAnsi="Times New Roman" w:eastAsia="Microsoft YaHei UI"/>
      <w:sz w:val="18"/>
    </w:rPr>
  </w:style>
  <w:style w:type="character" w:customStyle="1" w:styleId="158">
    <w:name w:val="不明显强调1"/>
    <w:autoRedefine/>
    <w:qFormat/>
    <w:uiPriority w:val="0"/>
    <w:rPr>
      <w:rFonts w:ascii="Times New Roman" w:hAnsi="Times New Roman" w:eastAsia="宋体"/>
      <w:i/>
      <w:color w:val="808080"/>
    </w:rPr>
  </w:style>
  <w:style w:type="character" w:customStyle="1" w:styleId="159">
    <w:name w:val="文档结构图 字符"/>
    <w:link w:val="18"/>
    <w:autoRedefine/>
    <w:qFormat/>
    <w:locked/>
    <w:uiPriority w:val="0"/>
    <w:rPr>
      <w:kern w:val="2"/>
      <w:sz w:val="24"/>
      <w:shd w:val="clear" w:color="auto" w:fill="000080"/>
    </w:rPr>
  </w:style>
  <w:style w:type="character" w:customStyle="1" w:styleId="160">
    <w:name w:val="批注主题 Char Char"/>
    <w:autoRedefine/>
    <w:qFormat/>
    <w:uiPriority w:val="0"/>
    <w:rPr>
      <w:rFonts w:ascii="宋体" w:hAnsi="宋体" w:eastAsia="宋体"/>
      <w:b/>
      <w:kern w:val="2"/>
      <w:sz w:val="24"/>
    </w:rPr>
  </w:style>
  <w:style w:type="character" w:customStyle="1" w:styleId="161">
    <w:name w:val="书籍标题2"/>
    <w:autoRedefine/>
    <w:qFormat/>
    <w:uiPriority w:val="99"/>
    <w:rPr>
      <w:rFonts w:ascii="Times New Roman" w:hAnsi="Times New Roman" w:eastAsia="宋体"/>
      <w:b/>
      <w:smallCaps/>
      <w:spacing w:val="5"/>
    </w:rPr>
  </w:style>
  <w:style w:type="character" w:customStyle="1" w:styleId="162">
    <w:name w:val="尾注文本 Char"/>
    <w:autoRedefine/>
    <w:qFormat/>
    <w:uiPriority w:val="0"/>
    <w:rPr>
      <w:rFonts w:ascii="Times New Roman" w:hAnsi="Times New Roman" w:eastAsia="宋体"/>
      <w:kern w:val="2"/>
      <w:sz w:val="24"/>
    </w:rPr>
  </w:style>
  <w:style w:type="character" w:customStyle="1" w:styleId="163">
    <w:name w:val="正文文本缩进 2 Char2"/>
    <w:autoRedefine/>
    <w:qFormat/>
    <w:uiPriority w:val="0"/>
    <w:rPr>
      <w:rFonts w:ascii="Times New Roman" w:hAnsi="Times New Roman" w:eastAsia="宋体"/>
      <w:kern w:val="2"/>
      <w:sz w:val="24"/>
    </w:rPr>
  </w:style>
  <w:style w:type="character" w:customStyle="1" w:styleId="164">
    <w:name w:val="Char Char1"/>
    <w:autoRedefine/>
    <w:qFormat/>
    <w:uiPriority w:val="0"/>
    <w:rPr>
      <w:rFonts w:ascii="宋体" w:hAnsi="Courier New" w:eastAsia="宋体"/>
      <w:kern w:val="2"/>
      <w:sz w:val="21"/>
      <w:lang w:val="en-US" w:eastAsia="zh-CN"/>
    </w:rPr>
  </w:style>
  <w:style w:type="character" w:customStyle="1" w:styleId="165">
    <w:name w:val="引用 Char1"/>
    <w:autoRedefine/>
    <w:qFormat/>
    <w:uiPriority w:val="29"/>
    <w:rPr>
      <w:rFonts w:ascii="Times New Roman" w:hAnsi="Times New Roman" w:eastAsia="宋体"/>
      <w:i/>
      <w:color w:val="000000"/>
      <w:sz w:val="24"/>
    </w:rPr>
  </w:style>
  <w:style w:type="character" w:customStyle="1" w:styleId="166">
    <w:name w:val="小四 段落 宋体 Char1"/>
    <w:autoRedefine/>
    <w:qFormat/>
    <w:uiPriority w:val="0"/>
    <w:rPr>
      <w:rFonts w:ascii="宋体" w:hAnsi="宋体" w:eastAsia="宋体"/>
      <w:kern w:val="2"/>
      <w:sz w:val="24"/>
    </w:rPr>
  </w:style>
  <w:style w:type="character" w:customStyle="1" w:styleId="167">
    <w:name w:val="明显参考1"/>
    <w:autoRedefine/>
    <w:qFormat/>
    <w:uiPriority w:val="0"/>
    <w:rPr>
      <w:rFonts w:ascii="Times New Roman" w:hAnsi="Times New Roman" w:eastAsia="宋体"/>
      <w:b/>
      <w:smallCaps/>
      <w:color w:val="C0504D"/>
      <w:spacing w:val="5"/>
      <w:u w:val="single"/>
    </w:rPr>
  </w:style>
  <w:style w:type="character" w:customStyle="1" w:styleId="168">
    <w:name w:val="标题4 Char Char"/>
    <w:link w:val="169"/>
    <w:autoRedefine/>
    <w:qFormat/>
    <w:locked/>
    <w:uiPriority w:val="0"/>
    <w:rPr>
      <w:rFonts w:ascii="Arial" w:hAnsi="Arial"/>
      <w:b/>
      <w:sz w:val="32"/>
    </w:rPr>
  </w:style>
  <w:style w:type="paragraph" w:customStyle="1" w:styleId="169">
    <w:name w:val="标题4"/>
    <w:basedOn w:val="5"/>
    <w:next w:val="23"/>
    <w:link w:val="168"/>
    <w:autoRedefine/>
    <w:qFormat/>
    <w:uiPriority w:val="0"/>
    <w:pPr>
      <w:spacing w:before="60" w:after="60" w:line="413" w:lineRule="auto"/>
    </w:pPr>
    <w:rPr>
      <w:rFonts w:eastAsia="宋体"/>
      <w:bCs/>
      <w:kern w:val="0"/>
    </w:rPr>
  </w:style>
  <w:style w:type="character" w:customStyle="1" w:styleId="170">
    <w:name w:val="批注主题 Char2"/>
    <w:autoRedefine/>
    <w:qFormat/>
    <w:uiPriority w:val="0"/>
    <w:rPr>
      <w:rFonts w:ascii="Cambria" w:hAnsi="Cambria" w:eastAsia="宋体"/>
      <w:b/>
      <w:kern w:val="2"/>
      <w:sz w:val="24"/>
      <w:lang w:val="en-US" w:eastAsia="zh-CN"/>
    </w:rPr>
  </w:style>
  <w:style w:type="character" w:customStyle="1" w:styleId="171">
    <w:name w:val="Char Char17"/>
    <w:autoRedefine/>
    <w:qFormat/>
    <w:uiPriority w:val="0"/>
    <w:rPr>
      <w:rFonts w:ascii="Cambria" w:hAnsi="Cambria" w:eastAsia="宋体"/>
      <w:kern w:val="2"/>
      <w:sz w:val="24"/>
    </w:rPr>
  </w:style>
  <w:style w:type="character" w:customStyle="1" w:styleId="172">
    <w:name w:val="正文文本缩进 3 Char1"/>
    <w:autoRedefine/>
    <w:qFormat/>
    <w:uiPriority w:val="0"/>
    <w:rPr>
      <w:rFonts w:ascii="Times New Roman" w:hAnsi="Times New Roman" w:eastAsia="宋体"/>
      <w:kern w:val="2"/>
      <w:sz w:val="16"/>
    </w:rPr>
  </w:style>
  <w:style w:type="character" w:customStyle="1" w:styleId="173">
    <w:name w:val="批注框文本 字符1"/>
    <w:autoRedefine/>
    <w:qFormat/>
    <w:uiPriority w:val="99"/>
    <w:rPr>
      <w:rFonts w:ascii="Times New Roman" w:hAnsi="Times New Roman" w:eastAsia="宋体"/>
      <w:kern w:val="2"/>
      <w:sz w:val="18"/>
    </w:rPr>
  </w:style>
  <w:style w:type="character" w:customStyle="1" w:styleId="174">
    <w:name w:val="Char Char27"/>
    <w:autoRedefine/>
    <w:qFormat/>
    <w:uiPriority w:val="0"/>
    <w:rPr>
      <w:rFonts w:ascii="Times New Roman" w:hAnsi="Times New Roman" w:eastAsia="宋体"/>
      <w:b/>
      <w:kern w:val="44"/>
      <w:sz w:val="44"/>
    </w:rPr>
  </w:style>
  <w:style w:type="character" w:customStyle="1" w:styleId="175">
    <w:name w:val="正文文本缩进 2 字符"/>
    <w:link w:val="30"/>
    <w:autoRedefine/>
    <w:qFormat/>
    <w:locked/>
    <w:uiPriority w:val="0"/>
    <w:rPr>
      <w:kern w:val="2"/>
      <w:sz w:val="24"/>
    </w:rPr>
  </w:style>
  <w:style w:type="character" w:customStyle="1" w:styleId="176">
    <w:name w:val="正文文本缩进 Char Char"/>
    <w:autoRedefine/>
    <w:qFormat/>
    <w:uiPriority w:val="0"/>
    <w:rPr>
      <w:rFonts w:ascii="宋体" w:hAnsi="宋体" w:eastAsia="宋体"/>
      <w:kern w:val="2"/>
      <w:sz w:val="24"/>
      <w:lang w:val="en-US" w:eastAsia="zh-CN"/>
    </w:rPr>
  </w:style>
  <w:style w:type="character" w:customStyle="1" w:styleId="177">
    <w:name w:val="正文文本缩进 字符"/>
    <w:autoRedefine/>
    <w:qFormat/>
    <w:uiPriority w:val="99"/>
    <w:rPr>
      <w:rFonts w:ascii="宋体" w:hAnsi="宋体" w:eastAsia="宋体"/>
      <w:kern w:val="2"/>
      <w:sz w:val="21"/>
    </w:rPr>
  </w:style>
  <w:style w:type="character" w:customStyle="1" w:styleId="178">
    <w:name w:val="书籍标题11"/>
    <w:autoRedefine/>
    <w:qFormat/>
    <w:uiPriority w:val="0"/>
    <w:rPr>
      <w:rFonts w:ascii="Times New Roman" w:hAnsi="Times New Roman" w:eastAsia="宋体"/>
      <w:b/>
      <w:smallCaps/>
      <w:spacing w:val="5"/>
    </w:rPr>
  </w:style>
  <w:style w:type="character" w:customStyle="1" w:styleId="179">
    <w:name w:val="标题 1 Char Char"/>
    <w:autoRedefine/>
    <w:qFormat/>
    <w:uiPriority w:val="0"/>
    <w:rPr>
      <w:rFonts w:ascii="黑体" w:hAnsi="宋体" w:eastAsia="黑体"/>
      <w:sz w:val="52"/>
      <w:lang w:val="en-US" w:eastAsia="zh-CN"/>
    </w:rPr>
  </w:style>
  <w:style w:type="character" w:customStyle="1" w:styleId="180">
    <w:name w:val="msointensereference"/>
    <w:autoRedefine/>
    <w:qFormat/>
    <w:uiPriority w:val="0"/>
    <w:rPr>
      <w:rFonts w:ascii="Times New Roman" w:hAnsi="Times New Roman" w:eastAsia="宋体"/>
      <w:b/>
      <w:smallCaps/>
      <w:color w:val="C0504D"/>
      <w:spacing w:val="5"/>
      <w:u w:val="single"/>
    </w:rPr>
  </w:style>
  <w:style w:type="character" w:customStyle="1" w:styleId="181">
    <w:name w:val="IRMS (F) Char21"/>
    <w:autoRedefine/>
    <w:qFormat/>
    <w:uiPriority w:val="0"/>
    <w:rPr>
      <w:rFonts w:ascii="Times New Roman" w:hAnsi="Times New Roman" w:eastAsia="宋体"/>
      <w:kern w:val="2"/>
      <w:sz w:val="18"/>
    </w:rPr>
  </w:style>
  <w:style w:type="character" w:customStyle="1" w:styleId="182">
    <w:name w:val="表格标题_"/>
    <w:autoRedefine/>
    <w:qFormat/>
    <w:uiPriority w:val="0"/>
    <w:rPr>
      <w:rFonts w:ascii="宋体" w:hAnsi="宋体" w:eastAsia="宋体"/>
      <w:spacing w:val="30"/>
      <w:sz w:val="21"/>
      <w:shd w:val="clear" w:color="auto" w:fill="FFFFFF"/>
    </w:rPr>
  </w:style>
  <w:style w:type="character" w:customStyle="1" w:styleId="183">
    <w:name w:val="Char Char91"/>
    <w:autoRedefine/>
    <w:qFormat/>
    <w:uiPriority w:val="0"/>
    <w:rPr>
      <w:rFonts w:ascii="Times New Roman" w:hAnsi="Times New Roman" w:eastAsia="宋体"/>
      <w:b/>
      <w:kern w:val="44"/>
      <w:sz w:val="44"/>
      <w:lang w:val="en-US" w:eastAsia="zh-CN"/>
    </w:rPr>
  </w:style>
  <w:style w:type="character" w:customStyle="1" w:styleId="184">
    <w:name w:val="msobooktitle"/>
    <w:autoRedefine/>
    <w:qFormat/>
    <w:uiPriority w:val="0"/>
    <w:rPr>
      <w:rFonts w:ascii="Times New Roman" w:hAnsi="Times New Roman" w:eastAsia="宋体"/>
      <w:b/>
      <w:smallCaps/>
      <w:spacing w:val="5"/>
    </w:rPr>
  </w:style>
  <w:style w:type="character" w:customStyle="1" w:styleId="185">
    <w:name w:val="Plain Text Char1"/>
    <w:autoRedefine/>
    <w:qFormat/>
    <w:uiPriority w:val="0"/>
    <w:rPr>
      <w:rFonts w:ascii="宋体" w:hAnsi="Courier New" w:eastAsia="宋体"/>
      <w:sz w:val="21"/>
    </w:rPr>
  </w:style>
  <w:style w:type="character" w:customStyle="1" w:styleId="186">
    <w:name w:val="Char Char22"/>
    <w:autoRedefine/>
    <w:qFormat/>
    <w:uiPriority w:val="0"/>
    <w:rPr>
      <w:rFonts w:ascii="Times New Roman" w:hAnsi="Times New Roman" w:eastAsia="宋体"/>
      <w:b/>
      <w:kern w:val="44"/>
      <w:sz w:val="44"/>
    </w:rPr>
  </w:style>
  <w:style w:type="character" w:customStyle="1" w:styleId="187">
    <w:name w:val="正文文本 3 Char2"/>
    <w:autoRedefine/>
    <w:qFormat/>
    <w:uiPriority w:val="0"/>
    <w:rPr>
      <w:rFonts w:ascii="Times New Roman" w:hAnsi="Times New Roman" w:eastAsia="宋体"/>
      <w:kern w:val="2"/>
      <w:sz w:val="16"/>
    </w:rPr>
  </w:style>
  <w:style w:type="character" w:customStyle="1" w:styleId="188">
    <w:name w:val="Char Char14"/>
    <w:autoRedefine/>
    <w:qFormat/>
    <w:uiPriority w:val="0"/>
    <w:rPr>
      <w:rFonts w:ascii="宋体" w:hAnsi="宋体" w:eastAsia="宋体"/>
      <w:kern w:val="2"/>
      <w:sz w:val="24"/>
      <w:lang w:val="en-US" w:eastAsia="zh-CN"/>
    </w:rPr>
  </w:style>
  <w:style w:type="character" w:customStyle="1" w:styleId="189">
    <w:name w:val="z-窗体底端 Char"/>
    <w:autoRedefine/>
    <w:qFormat/>
    <w:uiPriority w:val="0"/>
    <w:rPr>
      <w:rFonts w:ascii="Arial" w:hAnsi="Arial" w:eastAsia="宋体"/>
      <w:vanish/>
      <w:sz w:val="16"/>
    </w:rPr>
  </w:style>
  <w:style w:type="character" w:customStyle="1" w:styleId="190">
    <w:name w:val="尾注文本 Char2"/>
    <w:autoRedefine/>
    <w:qFormat/>
    <w:uiPriority w:val="0"/>
    <w:rPr>
      <w:rFonts w:ascii="Times New Roman" w:hAnsi="Times New Roman" w:eastAsia="宋体"/>
      <w:kern w:val="2"/>
      <w:sz w:val="24"/>
    </w:rPr>
  </w:style>
  <w:style w:type="character" w:customStyle="1" w:styleId="191">
    <w:name w:val="bigfont"/>
    <w:autoRedefine/>
    <w:qFormat/>
    <w:uiPriority w:val="0"/>
    <w:rPr>
      <w:rFonts w:ascii="Times New Roman" w:hAnsi="Times New Roman" w:eastAsia="宋体"/>
    </w:rPr>
  </w:style>
  <w:style w:type="character" w:customStyle="1" w:styleId="192">
    <w:name w:val="页眉 Char Char"/>
    <w:autoRedefine/>
    <w:qFormat/>
    <w:uiPriority w:val="0"/>
    <w:rPr>
      <w:rFonts w:ascii="宋体" w:hAnsi="宋体" w:eastAsia="宋体"/>
      <w:kern w:val="2"/>
      <w:sz w:val="18"/>
      <w:lang w:val="en-US" w:eastAsia="zh-CN"/>
    </w:rPr>
  </w:style>
  <w:style w:type="character" w:customStyle="1" w:styleId="193">
    <w:name w:val="无间隔 Char Char"/>
    <w:autoRedefine/>
    <w:qFormat/>
    <w:uiPriority w:val="0"/>
    <w:rPr>
      <w:rFonts w:ascii="宋体" w:hAnsi="宋体" w:eastAsia="宋体"/>
      <w:kern w:val="2"/>
      <w:sz w:val="24"/>
      <w:lang w:val="en-US" w:eastAsia="zh-CN"/>
    </w:rPr>
  </w:style>
  <w:style w:type="character" w:customStyle="1" w:styleId="194">
    <w:name w:val="Normal - Small Char"/>
    <w:autoRedefine/>
    <w:qFormat/>
    <w:uiPriority w:val="0"/>
    <w:rPr>
      <w:rFonts w:ascii="Times New Roman" w:hAnsi="Times New Roman" w:eastAsia="宋体"/>
      <w:snapToGrid w:val="0"/>
      <w:sz w:val="22"/>
      <w:lang w:val="en-US" w:eastAsia="zh-TW"/>
    </w:rPr>
  </w:style>
  <w:style w:type="character" w:customStyle="1" w:styleId="195">
    <w:name w:val="IRMS (F) Char3"/>
    <w:autoRedefine/>
    <w:qFormat/>
    <w:uiPriority w:val="0"/>
    <w:rPr>
      <w:rFonts w:ascii="宋体" w:hAnsi="宋体" w:eastAsia="宋体"/>
      <w:snapToGrid w:val="0"/>
      <w:sz w:val="22"/>
      <w:lang w:val="en-US" w:eastAsia="zh-TW"/>
    </w:rPr>
  </w:style>
  <w:style w:type="character" w:customStyle="1" w:styleId="196">
    <w:name w:val="标题 7 Char Char"/>
    <w:autoRedefine/>
    <w:qFormat/>
    <w:uiPriority w:val="0"/>
    <w:rPr>
      <w:rFonts w:ascii="宋体" w:hAnsi="宋体" w:eastAsia="宋体"/>
      <w:b/>
      <w:kern w:val="2"/>
      <w:sz w:val="24"/>
    </w:rPr>
  </w:style>
  <w:style w:type="character" w:customStyle="1" w:styleId="197">
    <w:name w:val="Char Char20"/>
    <w:autoRedefine/>
    <w:qFormat/>
    <w:uiPriority w:val="0"/>
    <w:rPr>
      <w:rFonts w:ascii="Times New Roman" w:hAnsi="Times New Roman" w:eastAsia="宋体"/>
      <w:b/>
      <w:sz w:val="32"/>
    </w:rPr>
  </w:style>
  <w:style w:type="character" w:customStyle="1" w:styleId="198">
    <w:name w:val="不明显参考111"/>
    <w:autoRedefine/>
    <w:qFormat/>
    <w:uiPriority w:val="99"/>
    <w:rPr>
      <w:rFonts w:ascii="Times New Roman" w:hAnsi="Times New Roman" w:eastAsia="宋体"/>
      <w:smallCaps/>
      <w:color w:val="C0504D"/>
      <w:u w:val="single"/>
    </w:rPr>
  </w:style>
  <w:style w:type="character" w:customStyle="1" w:styleId="199">
    <w:name w:val="Char Char221"/>
    <w:autoRedefine/>
    <w:qFormat/>
    <w:uiPriority w:val="0"/>
    <w:rPr>
      <w:rFonts w:ascii="Times New Roman" w:hAnsi="Times New Roman" w:eastAsia="宋体"/>
      <w:kern w:val="2"/>
      <w:sz w:val="21"/>
    </w:rPr>
  </w:style>
  <w:style w:type="character" w:customStyle="1" w:styleId="200">
    <w:name w:val="Char Char32"/>
    <w:autoRedefine/>
    <w:qFormat/>
    <w:uiPriority w:val="0"/>
    <w:rPr>
      <w:rFonts w:ascii="Tahoma" w:hAnsi="Tahoma"/>
      <w:kern w:val="2"/>
      <w:sz w:val="24"/>
    </w:rPr>
  </w:style>
  <w:style w:type="character" w:customStyle="1" w:styleId="201">
    <w:name w:val="正文首行缩进 2 Char1"/>
    <w:autoRedefine/>
    <w:qFormat/>
    <w:uiPriority w:val="0"/>
    <w:rPr>
      <w:rFonts w:ascii="宋体" w:hAnsi="宋体" w:eastAsia="宋体"/>
      <w:kern w:val="2"/>
      <w:sz w:val="24"/>
    </w:rPr>
  </w:style>
  <w:style w:type="character" w:customStyle="1" w:styleId="202">
    <w:name w:val="Char Char11"/>
    <w:autoRedefine/>
    <w:qFormat/>
    <w:uiPriority w:val="0"/>
    <w:rPr>
      <w:rFonts w:ascii="Times New Roman" w:hAnsi="Times New Roman" w:eastAsia="宋体"/>
      <w:sz w:val="24"/>
    </w:rPr>
  </w:style>
  <w:style w:type="character" w:customStyle="1" w:styleId="203">
    <w:name w:val="正文文本 Char Char"/>
    <w:autoRedefine/>
    <w:qFormat/>
    <w:uiPriority w:val="0"/>
    <w:rPr>
      <w:rFonts w:ascii="宋体" w:hAnsi="宋体" w:eastAsia="宋体"/>
      <w:sz w:val="21"/>
      <w:lang w:val="en-US" w:eastAsia="zh-CN"/>
    </w:rPr>
  </w:style>
  <w:style w:type="character" w:customStyle="1" w:styleId="204">
    <w:name w:val="副标题 Char Char"/>
    <w:autoRedefine/>
    <w:qFormat/>
    <w:uiPriority w:val="0"/>
    <w:rPr>
      <w:rFonts w:ascii="Cambria" w:hAnsi="Cambria" w:eastAsia="宋体"/>
      <w:b/>
      <w:kern w:val="28"/>
      <w:sz w:val="32"/>
    </w:rPr>
  </w:style>
  <w:style w:type="character" w:customStyle="1" w:styleId="205">
    <w:name w:val="副标题 Char2"/>
    <w:autoRedefine/>
    <w:qFormat/>
    <w:uiPriority w:val="0"/>
    <w:rPr>
      <w:rFonts w:ascii="Cambria" w:hAnsi="Cambria"/>
      <w:b/>
      <w:kern w:val="28"/>
      <w:sz w:val="32"/>
    </w:rPr>
  </w:style>
  <w:style w:type="character" w:customStyle="1" w:styleId="206">
    <w:name w:val="Variable"/>
    <w:autoRedefine/>
    <w:qFormat/>
    <w:uiPriority w:val="0"/>
    <w:rPr>
      <w:rFonts w:ascii="Times New Roman" w:hAnsi="Times New Roman" w:eastAsia="宋体"/>
      <w:i/>
    </w:rPr>
  </w:style>
  <w:style w:type="character" w:customStyle="1" w:styleId="207">
    <w:name w:val="Quote Char Char"/>
    <w:autoRedefine/>
    <w:qFormat/>
    <w:uiPriority w:val="0"/>
    <w:rPr>
      <w:rFonts w:ascii="宋体" w:hAnsi="宋体" w:eastAsia="宋体"/>
      <w:i/>
      <w:color w:val="000000"/>
      <w:kern w:val="2"/>
      <w:sz w:val="24"/>
      <w:lang w:val="en-US" w:eastAsia="zh-CN"/>
    </w:rPr>
  </w:style>
  <w:style w:type="character" w:customStyle="1" w:styleId="208">
    <w:name w:val="正文文本 Char1"/>
    <w:autoRedefine/>
    <w:qFormat/>
    <w:uiPriority w:val="0"/>
    <w:rPr>
      <w:rFonts w:ascii="Times New Roman" w:hAnsi="Times New Roman" w:eastAsia="宋体"/>
      <w:kern w:val="2"/>
      <w:sz w:val="22"/>
    </w:rPr>
  </w:style>
  <w:style w:type="character" w:customStyle="1" w:styleId="209">
    <w:name w:val="纯文本 Char Char"/>
    <w:autoRedefine/>
    <w:qFormat/>
    <w:uiPriority w:val="0"/>
    <w:rPr>
      <w:rFonts w:ascii="宋体" w:hAnsi="Courier New" w:eastAsia="宋体"/>
      <w:kern w:val="2"/>
      <w:sz w:val="21"/>
      <w:lang w:val="en-US" w:eastAsia="zh-CN"/>
    </w:rPr>
  </w:style>
  <w:style w:type="character" w:customStyle="1" w:styleId="210">
    <w:name w:val="批注主题 Char3"/>
    <w:autoRedefine/>
    <w:qFormat/>
    <w:uiPriority w:val="0"/>
    <w:rPr>
      <w:rFonts w:ascii="Times New Roman" w:hAnsi="Times New Roman" w:eastAsia="宋体"/>
      <w:b/>
      <w:kern w:val="2"/>
      <w:sz w:val="24"/>
    </w:rPr>
  </w:style>
  <w:style w:type="character" w:customStyle="1" w:styleId="211">
    <w:name w:val="Char Char12"/>
    <w:autoRedefine/>
    <w:qFormat/>
    <w:uiPriority w:val="0"/>
    <w:rPr>
      <w:rFonts w:ascii="宋体" w:hAnsi="宋体" w:eastAsia="宋体"/>
      <w:sz w:val="24"/>
      <w:lang w:val="en-US" w:eastAsia="zh-CN"/>
    </w:rPr>
  </w:style>
  <w:style w:type="character" w:customStyle="1" w:styleId="212">
    <w:name w:val="Char Char10"/>
    <w:autoRedefine/>
    <w:qFormat/>
    <w:uiPriority w:val="0"/>
    <w:rPr>
      <w:rFonts w:ascii="Cambria" w:hAnsi="Cambria" w:eastAsia="宋体"/>
      <w:b/>
      <w:kern w:val="2"/>
      <w:sz w:val="32"/>
      <w:lang w:val="en-US" w:eastAsia="zh-CN"/>
    </w:rPr>
  </w:style>
  <w:style w:type="character" w:customStyle="1" w:styleId="213">
    <w:name w:val="副标题 Char1"/>
    <w:autoRedefine/>
    <w:qFormat/>
    <w:uiPriority w:val="11"/>
    <w:rPr>
      <w:rFonts w:ascii="Cambria" w:hAnsi="Cambria" w:eastAsia="宋体"/>
      <w:b/>
      <w:kern w:val="28"/>
      <w:sz w:val="32"/>
    </w:rPr>
  </w:style>
  <w:style w:type="character" w:customStyle="1" w:styleId="214">
    <w:name w:val="批注文字 Char1"/>
    <w:autoRedefine/>
    <w:qFormat/>
    <w:uiPriority w:val="0"/>
    <w:rPr>
      <w:rFonts w:ascii="Times New Roman" w:hAnsi="Times New Roman" w:eastAsia="宋体"/>
      <w:sz w:val="24"/>
    </w:rPr>
  </w:style>
  <w:style w:type="character" w:customStyle="1" w:styleId="215">
    <w:name w:val="纯文本 Char Char Char"/>
    <w:autoRedefine/>
    <w:qFormat/>
    <w:uiPriority w:val="0"/>
    <w:rPr>
      <w:rFonts w:ascii="宋体" w:hAnsi="Courier New" w:eastAsia="宋体"/>
      <w:kern w:val="2"/>
      <w:sz w:val="21"/>
      <w:lang w:val="en-US" w:eastAsia="zh-CN"/>
    </w:rPr>
  </w:style>
  <w:style w:type="character" w:customStyle="1" w:styleId="216">
    <w:name w:val="Char Char16"/>
    <w:autoRedefine/>
    <w:qFormat/>
    <w:uiPriority w:val="0"/>
    <w:rPr>
      <w:rFonts w:ascii="Cambria" w:hAnsi="Cambria" w:eastAsia="宋体"/>
      <w:kern w:val="2"/>
      <w:sz w:val="21"/>
    </w:rPr>
  </w:style>
  <w:style w:type="character" w:customStyle="1" w:styleId="217">
    <w:name w:val="Char Char18"/>
    <w:autoRedefine/>
    <w:qFormat/>
    <w:uiPriority w:val="0"/>
    <w:rPr>
      <w:rFonts w:ascii="Times New Roman" w:hAnsi="Times New Roman" w:eastAsia="宋体"/>
      <w:b/>
      <w:sz w:val="28"/>
    </w:rPr>
  </w:style>
  <w:style w:type="character" w:customStyle="1" w:styleId="218">
    <w:name w:val="Char Char13"/>
    <w:autoRedefine/>
    <w:qFormat/>
    <w:uiPriority w:val="0"/>
    <w:rPr>
      <w:rFonts w:ascii="Times New Roman" w:hAnsi="Times New Roman" w:eastAsia="宋体"/>
      <w:sz w:val="24"/>
    </w:rPr>
  </w:style>
  <w:style w:type="character" w:customStyle="1" w:styleId="219">
    <w:name w:val="明显引用 Char3"/>
    <w:autoRedefine/>
    <w:qFormat/>
    <w:uiPriority w:val="0"/>
    <w:rPr>
      <w:rFonts w:ascii="Times New Roman" w:hAnsi="Times New Roman" w:eastAsia="宋体"/>
      <w:b/>
      <w:i/>
      <w:color w:val="4F81BD"/>
      <w:kern w:val="2"/>
      <w:sz w:val="24"/>
    </w:rPr>
  </w:style>
  <w:style w:type="character" w:customStyle="1" w:styleId="220">
    <w:name w:val="日期 Char1"/>
    <w:autoRedefine/>
    <w:qFormat/>
    <w:uiPriority w:val="0"/>
    <w:rPr>
      <w:rFonts w:ascii="Times New Roman" w:hAnsi="Times New Roman" w:eastAsia="宋体"/>
      <w:sz w:val="24"/>
    </w:rPr>
  </w:style>
  <w:style w:type="character" w:customStyle="1" w:styleId="221">
    <w:name w:val="Char Char19"/>
    <w:autoRedefine/>
    <w:qFormat/>
    <w:uiPriority w:val="0"/>
    <w:rPr>
      <w:rFonts w:ascii="Arial" w:hAnsi="Arial" w:eastAsia="宋体"/>
      <w:b/>
      <w:sz w:val="28"/>
    </w:rPr>
  </w:style>
  <w:style w:type="character" w:customStyle="1" w:styleId="222">
    <w:name w:val="Char Char15"/>
    <w:autoRedefine/>
    <w:qFormat/>
    <w:uiPriority w:val="0"/>
    <w:rPr>
      <w:rFonts w:ascii="Times New Roman" w:hAnsi="Times New Roman" w:eastAsia="宋体"/>
      <w:kern w:val="2"/>
      <w:sz w:val="24"/>
    </w:rPr>
  </w:style>
  <w:style w:type="character" w:customStyle="1" w:styleId="223">
    <w:name w:val="标题 2 Char Char"/>
    <w:autoRedefine/>
    <w:qFormat/>
    <w:uiPriority w:val="0"/>
    <w:rPr>
      <w:rFonts w:ascii="Arial" w:hAnsi="Arial" w:eastAsia="黑体"/>
      <w:b/>
      <w:kern w:val="2"/>
      <w:sz w:val="32"/>
      <w:lang w:val="en-US" w:eastAsia="zh-CN"/>
    </w:rPr>
  </w:style>
  <w:style w:type="character" w:customStyle="1" w:styleId="224">
    <w:name w:val="正文文本缩进 2 Char1"/>
    <w:autoRedefine/>
    <w:qFormat/>
    <w:uiPriority w:val="0"/>
    <w:rPr>
      <w:rFonts w:ascii="Times New Roman" w:hAnsi="Times New Roman" w:eastAsia="宋体"/>
      <w:kern w:val="2"/>
      <w:sz w:val="21"/>
    </w:rPr>
  </w:style>
  <w:style w:type="character" w:customStyle="1" w:styleId="225">
    <w:name w:val="Char Char2"/>
    <w:autoRedefine/>
    <w:qFormat/>
    <w:uiPriority w:val="0"/>
    <w:rPr>
      <w:rFonts w:ascii="宋体" w:hAnsi="宋体" w:eastAsia="宋体"/>
      <w:b/>
      <w:kern w:val="2"/>
      <w:sz w:val="24"/>
      <w:lang w:val="en-US" w:eastAsia="zh-CN"/>
    </w:rPr>
  </w:style>
  <w:style w:type="character" w:customStyle="1" w:styleId="226">
    <w:name w:val="表正文 Char1"/>
    <w:autoRedefine/>
    <w:qFormat/>
    <w:uiPriority w:val="0"/>
    <w:rPr>
      <w:rFonts w:ascii="Times New Roman" w:hAnsi="Times New Roman" w:eastAsia="宋体"/>
      <w:kern w:val="2"/>
      <w:sz w:val="21"/>
    </w:rPr>
  </w:style>
  <w:style w:type="character" w:customStyle="1" w:styleId="227">
    <w:name w:val="Char Char Char"/>
    <w:autoRedefine/>
    <w:qFormat/>
    <w:uiPriority w:val="0"/>
    <w:rPr>
      <w:rFonts w:ascii="宋体" w:hAnsi="宋体" w:eastAsia="宋体"/>
      <w:kern w:val="2"/>
      <w:sz w:val="24"/>
      <w:lang w:val="en-US" w:eastAsia="zh-CN"/>
    </w:rPr>
  </w:style>
  <w:style w:type="character" w:customStyle="1" w:styleId="228">
    <w:name w:val="正文文本 + 间距 0 pt"/>
    <w:autoRedefine/>
    <w:qFormat/>
    <w:uiPriority w:val="0"/>
    <w:rPr>
      <w:rFonts w:ascii="宋体" w:hAnsi="宋体" w:eastAsia="宋体"/>
      <w:spacing w:val="10"/>
      <w:kern w:val="2"/>
      <w:sz w:val="24"/>
      <w:lang w:val="en-US" w:eastAsia="en-US"/>
    </w:rPr>
  </w:style>
  <w:style w:type="character" w:customStyle="1" w:styleId="229">
    <w:name w:val="Char Char23"/>
    <w:autoRedefine/>
    <w:qFormat/>
    <w:uiPriority w:val="0"/>
    <w:rPr>
      <w:rFonts w:ascii="Times New Roman" w:hAnsi="Times New Roman" w:eastAsia="宋体"/>
      <w:b/>
      <w:kern w:val="44"/>
      <w:sz w:val="44"/>
      <w:lang w:val="en-US" w:eastAsia="zh-CN"/>
    </w:rPr>
  </w:style>
  <w:style w:type="character" w:customStyle="1" w:styleId="230">
    <w:name w:val="标题 4 Char Char"/>
    <w:autoRedefine/>
    <w:qFormat/>
    <w:uiPriority w:val="0"/>
    <w:rPr>
      <w:rFonts w:ascii="Cambria" w:hAnsi="Cambria" w:eastAsia="宋体"/>
      <w:b/>
      <w:kern w:val="2"/>
      <w:sz w:val="28"/>
    </w:rPr>
  </w:style>
  <w:style w:type="character" w:customStyle="1" w:styleId="231">
    <w:name w:val="Comment Text Char1"/>
    <w:autoRedefine/>
    <w:qFormat/>
    <w:uiPriority w:val="0"/>
    <w:rPr>
      <w:rFonts w:ascii="Times New Roman" w:hAnsi="Times New Roman" w:eastAsia="宋体"/>
      <w:sz w:val="24"/>
    </w:rPr>
  </w:style>
  <w:style w:type="character" w:customStyle="1" w:styleId="232">
    <w:name w:val="标题 字符"/>
    <w:link w:val="45"/>
    <w:autoRedefine/>
    <w:qFormat/>
    <w:locked/>
    <w:uiPriority w:val="0"/>
    <w:rPr>
      <w:rFonts w:ascii="Cambria" w:hAnsi="Cambria"/>
      <w:b/>
      <w:kern w:val="2"/>
      <w:sz w:val="32"/>
    </w:rPr>
  </w:style>
  <w:style w:type="character" w:customStyle="1" w:styleId="233">
    <w:name w:val="样式 Char"/>
    <w:link w:val="234"/>
    <w:autoRedefine/>
    <w:qFormat/>
    <w:locked/>
    <w:uiPriority w:val="0"/>
    <w:rPr>
      <w:rFonts w:ascii="宋体" w:eastAsia="宋体"/>
      <w:sz w:val="24"/>
      <w:lang w:val="en-US" w:eastAsia="zh-CN"/>
    </w:rPr>
  </w:style>
  <w:style w:type="paragraph" w:customStyle="1" w:styleId="234">
    <w:name w:val="样式"/>
    <w:link w:val="233"/>
    <w:autoRedefine/>
    <w:qFormat/>
    <w:uiPriority w:val="0"/>
    <w:pPr>
      <w:widowControl w:val="0"/>
      <w:autoSpaceDE w:val="0"/>
      <w:autoSpaceDN w:val="0"/>
      <w:adjustRightInd w:val="0"/>
      <w:spacing w:line="400" w:lineRule="exact"/>
      <w:ind w:firstLine="200" w:firstLineChars="200"/>
    </w:pPr>
    <w:rPr>
      <w:rFonts w:ascii="宋体" w:hAnsi="宋体" w:eastAsia="宋体" w:cs="宋体"/>
      <w:sz w:val="24"/>
      <w:szCs w:val="24"/>
      <w:lang w:val="en-US" w:eastAsia="zh-CN" w:bidi="ar-SA"/>
    </w:rPr>
  </w:style>
  <w:style w:type="character" w:customStyle="1" w:styleId="235">
    <w:name w:val="超链接_0"/>
    <w:autoRedefine/>
    <w:qFormat/>
    <w:uiPriority w:val="99"/>
    <w:rPr>
      <w:rFonts w:ascii="Calibri" w:hAnsi="Calibri" w:eastAsia="宋体"/>
      <w:color w:val="0000FF"/>
      <w:u w:val="single"/>
    </w:rPr>
  </w:style>
  <w:style w:type="character" w:customStyle="1" w:styleId="236">
    <w:name w:val="Para head"/>
    <w:autoRedefine/>
    <w:qFormat/>
    <w:uiPriority w:val="0"/>
    <w:rPr>
      <w:rFonts w:ascii="Arial" w:hAnsi="Arial"/>
      <w:sz w:val="20"/>
    </w:rPr>
  </w:style>
  <w:style w:type="character" w:customStyle="1" w:styleId="237">
    <w:name w:val="Char Char"/>
    <w:link w:val="238"/>
    <w:autoRedefine/>
    <w:qFormat/>
    <w:locked/>
    <w:uiPriority w:val="0"/>
    <w:rPr>
      <w:kern w:val="2"/>
      <w:sz w:val="24"/>
    </w:rPr>
  </w:style>
  <w:style w:type="paragraph" w:customStyle="1" w:styleId="238">
    <w:name w:val="Char"/>
    <w:basedOn w:val="1"/>
    <w:link w:val="237"/>
    <w:autoRedefine/>
    <w:qFormat/>
    <w:uiPriority w:val="0"/>
    <w:pPr>
      <w:widowControl/>
      <w:spacing w:after="160" w:line="240" w:lineRule="exact"/>
      <w:jc w:val="left"/>
    </w:pPr>
    <w:rPr>
      <w:sz w:val="24"/>
      <w:szCs w:val="20"/>
    </w:rPr>
  </w:style>
  <w:style w:type="character" w:customStyle="1" w:styleId="239">
    <w:name w:val="标题 5 Char1"/>
    <w:autoRedefine/>
    <w:qFormat/>
    <w:uiPriority w:val="0"/>
    <w:rPr>
      <w:rFonts w:ascii="宋体" w:hAnsi="宋体" w:eastAsia="宋体"/>
      <w:b/>
      <w:kern w:val="2"/>
      <w:sz w:val="28"/>
      <w:lang w:val="en-US" w:eastAsia="zh-CN"/>
    </w:rPr>
  </w:style>
  <w:style w:type="character" w:customStyle="1" w:styleId="240">
    <w:name w:val="msointenseemphasis"/>
    <w:autoRedefine/>
    <w:qFormat/>
    <w:uiPriority w:val="0"/>
    <w:rPr>
      <w:rFonts w:ascii="Times New Roman" w:hAnsi="Times New Roman" w:eastAsia="宋体"/>
      <w:b/>
      <w:i/>
      <w:color w:val="4F81BD"/>
    </w:rPr>
  </w:style>
  <w:style w:type="character" w:customStyle="1" w:styleId="241">
    <w:name w:val="msosubtleemphasis"/>
    <w:autoRedefine/>
    <w:qFormat/>
    <w:uiPriority w:val="0"/>
    <w:rPr>
      <w:rFonts w:ascii="Times New Roman" w:hAnsi="Times New Roman" w:eastAsia="宋体"/>
      <w:i/>
      <w:color w:val="808080"/>
    </w:rPr>
  </w:style>
  <w:style w:type="character" w:customStyle="1" w:styleId="242">
    <w:name w:val="ҳŻ"/>
    <w:autoRedefine/>
    <w:qFormat/>
    <w:uiPriority w:val="0"/>
    <w:rPr>
      <w:rFonts w:ascii="宋体" w:hAnsi="宋体" w:eastAsia="宋体"/>
      <w:sz w:val="32"/>
    </w:rPr>
  </w:style>
  <w:style w:type="character" w:customStyle="1" w:styleId="243">
    <w:name w:val="明显参考11"/>
    <w:autoRedefine/>
    <w:qFormat/>
    <w:uiPriority w:val="0"/>
    <w:rPr>
      <w:rFonts w:ascii="Times New Roman" w:hAnsi="Times New Roman" w:eastAsia="宋体"/>
      <w:b/>
      <w:smallCaps/>
      <w:color w:val="C0504D"/>
      <w:spacing w:val="5"/>
      <w:u w:val="single"/>
    </w:rPr>
  </w:style>
  <w:style w:type="character" w:customStyle="1" w:styleId="244">
    <w:name w:val="标题 9 Char Char"/>
    <w:autoRedefine/>
    <w:qFormat/>
    <w:uiPriority w:val="0"/>
    <w:rPr>
      <w:rFonts w:ascii="Cambria" w:hAnsi="Cambria" w:eastAsia="宋体"/>
      <w:kern w:val="2"/>
      <w:sz w:val="21"/>
    </w:rPr>
  </w:style>
  <w:style w:type="character" w:customStyle="1" w:styleId="245">
    <w:name w:val="明显强调1"/>
    <w:autoRedefine/>
    <w:qFormat/>
    <w:uiPriority w:val="0"/>
    <w:rPr>
      <w:rFonts w:ascii="Times New Roman" w:hAnsi="Times New Roman" w:eastAsia="宋体"/>
      <w:b/>
      <w:i/>
      <w:color w:val="4F81BD"/>
    </w:rPr>
  </w:style>
  <w:style w:type="character" w:customStyle="1" w:styleId="246">
    <w:name w:val="正文文本 Char2"/>
    <w:autoRedefine/>
    <w:qFormat/>
    <w:uiPriority w:val="0"/>
    <w:rPr>
      <w:rFonts w:ascii="Times New Roman" w:hAnsi="Times New Roman" w:eastAsia="宋体"/>
      <w:kern w:val="2"/>
      <w:sz w:val="24"/>
    </w:rPr>
  </w:style>
  <w:style w:type="character" w:customStyle="1" w:styleId="247">
    <w:name w:val="Char Char81"/>
    <w:autoRedefine/>
    <w:qFormat/>
    <w:uiPriority w:val="0"/>
    <w:rPr>
      <w:rFonts w:ascii="Arial" w:hAnsi="Arial" w:eastAsia="黑体"/>
      <w:b/>
      <w:kern w:val="2"/>
      <w:sz w:val="32"/>
      <w:lang w:val="en-US" w:eastAsia="zh-CN"/>
    </w:rPr>
  </w:style>
  <w:style w:type="character" w:customStyle="1" w:styleId="248">
    <w:name w:val="正文文本缩进 Char1"/>
    <w:autoRedefine/>
    <w:qFormat/>
    <w:uiPriority w:val="0"/>
    <w:rPr>
      <w:rFonts w:ascii="Times New Roman" w:hAnsi="Times New Roman" w:eastAsia="宋体"/>
      <w:sz w:val="24"/>
    </w:rPr>
  </w:style>
  <w:style w:type="character" w:customStyle="1" w:styleId="249">
    <w:name w:val="bigfont1"/>
    <w:autoRedefine/>
    <w:qFormat/>
    <w:uiPriority w:val="0"/>
    <w:rPr>
      <w:rFonts w:eastAsia="宋体"/>
      <w:color w:val="000000"/>
      <w:sz w:val="24"/>
      <w:u w:val="none"/>
    </w:rPr>
  </w:style>
  <w:style w:type="character" w:customStyle="1" w:styleId="250">
    <w:name w:val="不明显强调11"/>
    <w:autoRedefine/>
    <w:qFormat/>
    <w:uiPriority w:val="0"/>
    <w:rPr>
      <w:rFonts w:ascii="Times New Roman" w:hAnsi="Times New Roman" w:eastAsia="宋体"/>
      <w:i/>
      <w:color w:val="808080"/>
    </w:rPr>
  </w:style>
  <w:style w:type="character" w:customStyle="1" w:styleId="251">
    <w:name w:val="Char Char21"/>
    <w:autoRedefine/>
    <w:qFormat/>
    <w:uiPriority w:val="0"/>
    <w:rPr>
      <w:rFonts w:ascii="Arial" w:hAnsi="Arial" w:eastAsia="黑体"/>
      <w:b/>
      <w:sz w:val="32"/>
    </w:rPr>
  </w:style>
  <w:style w:type="character" w:customStyle="1" w:styleId="252">
    <w:name w:val="Char Char71"/>
    <w:autoRedefine/>
    <w:qFormat/>
    <w:uiPriority w:val="0"/>
    <w:rPr>
      <w:rFonts w:ascii="Arial" w:hAnsi="Arial" w:eastAsia="黑体"/>
      <w:b/>
      <w:kern w:val="2"/>
      <w:sz w:val="32"/>
      <w:lang w:val="en-US" w:eastAsia="zh-CN"/>
    </w:rPr>
  </w:style>
  <w:style w:type="character" w:customStyle="1" w:styleId="253">
    <w:name w:val="标题 Char3"/>
    <w:autoRedefine/>
    <w:qFormat/>
    <w:uiPriority w:val="99"/>
    <w:rPr>
      <w:rFonts w:ascii="Calibri Light" w:hAnsi="Calibri Light" w:eastAsia="宋体"/>
      <w:b/>
      <w:sz w:val="32"/>
    </w:rPr>
  </w:style>
  <w:style w:type="character" w:customStyle="1" w:styleId="254">
    <w:name w:val="脚注文本 字符"/>
    <w:link w:val="38"/>
    <w:autoRedefine/>
    <w:qFormat/>
    <w:locked/>
    <w:uiPriority w:val="0"/>
    <w:rPr>
      <w:sz w:val="18"/>
    </w:rPr>
  </w:style>
  <w:style w:type="character" w:customStyle="1" w:styleId="255">
    <w:name w:val="纯文本 Char2"/>
    <w:autoRedefine/>
    <w:qFormat/>
    <w:uiPriority w:val="0"/>
    <w:rPr>
      <w:rFonts w:ascii="宋体" w:hAnsi="Courier New" w:eastAsia="宋体"/>
      <w:kern w:val="2"/>
      <w:sz w:val="21"/>
    </w:rPr>
  </w:style>
  <w:style w:type="character" w:customStyle="1" w:styleId="256">
    <w:name w:val="批注文字 字符1"/>
    <w:autoRedefine/>
    <w:qFormat/>
    <w:uiPriority w:val="99"/>
    <w:rPr>
      <w:rFonts w:ascii="Times New Roman" w:hAnsi="Times New Roman" w:eastAsia="宋体"/>
      <w:kern w:val="2"/>
      <w:sz w:val="24"/>
      <w:lang w:val="en-US" w:eastAsia="zh-CN"/>
    </w:rPr>
  </w:style>
  <w:style w:type="character" w:customStyle="1" w:styleId="257">
    <w:name w:val="引用 Char3"/>
    <w:autoRedefine/>
    <w:qFormat/>
    <w:uiPriority w:val="0"/>
    <w:rPr>
      <w:rFonts w:ascii="Times New Roman" w:hAnsi="Times New Roman" w:eastAsia="宋体"/>
      <w:i/>
      <w:color w:val="000000"/>
      <w:kern w:val="2"/>
      <w:sz w:val="24"/>
    </w:rPr>
  </w:style>
  <w:style w:type="character" w:customStyle="1" w:styleId="258">
    <w:name w:val="正文文本 字符"/>
    <w:autoRedefine/>
    <w:qFormat/>
    <w:uiPriority w:val="99"/>
    <w:rPr>
      <w:rFonts w:ascii="Times New Roman" w:hAnsi="Times New Roman" w:eastAsia="宋体"/>
      <w:kern w:val="2"/>
      <w:sz w:val="22"/>
      <w:lang w:val="en-US" w:eastAsia="zh-CN"/>
    </w:rPr>
  </w:style>
  <w:style w:type="character" w:customStyle="1" w:styleId="259">
    <w:name w:val="批注框文本 Char2"/>
    <w:autoRedefine/>
    <w:qFormat/>
    <w:uiPriority w:val="0"/>
    <w:rPr>
      <w:rFonts w:ascii="Times New Roman" w:hAnsi="Times New Roman" w:eastAsia="宋体"/>
      <w:kern w:val="2"/>
      <w:sz w:val="18"/>
    </w:rPr>
  </w:style>
  <w:style w:type="character" w:customStyle="1" w:styleId="260">
    <w:name w:val="question-title2"/>
    <w:autoRedefine/>
    <w:qFormat/>
    <w:uiPriority w:val="0"/>
    <w:rPr>
      <w:rFonts w:ascii="Times New Roman" w:hAnsi="Times New Roman" w:eastAsia="宋体" w:cs="Times New Roman"/>
    </w:rPr>
  </w:style>
  <w:style w:type="character" w:customStyle="1" w:styleId="261">
    <w:name w:val="bookmark"/>
    <w:autoRedefine/>
    <w:qFormat/>
    <w:uiPriority w:val="0"/>
    <w:rPr>
      <w:rFonts w:ascii="Times New Roman" w:hAnsi="Times New Roman" w:eastAsia="宋体" w:cs="Times New Roman"/>
    </w:rPr>
  </w:style>
  <w:style w:type="character" w:customStyle="1" w:styleId="262">
    <w:name w:val="无间隔 字符"/>
    <w:link w:val="263"/>
    <w:autoRedefine/>
    <w:qFormat/>
    <w:locked/>
    <w:uiPriority w:val="0"/>
    <w:rPr>
      <w:kern w:val="2"/>
      <w:sz w:val="24"/>
      <w:lang w:val="en-US" w:eastAsia="zh-CN"/>
    </w:rPr>
  </w:style>
  <w:style w:type="paragraph" w:styleId="263">
    <w:name w:val="No Spacing"/>
    <w:link w:val="262"/>
    <w:autoRedefine/>
    <w:qFormat/>
    <w:uiPriority w:val="0"/>
    <w:pPr>
      <w:widowControl w:val="0"/>
      <w:spacing w:line="400" w:lineRule="exact"/>
      <w:ind w:firstLine="200" w:firstLineChars="200"/>
      <w:jc w:val="both"/>
    </w:pPr>
    <w:rPr>
      <w:rFonts w:ascii="Times New Roman" w:hAnsi="Times New Roman" w:eastAsia="宋体" w:cs="Times New Roman"/>
      <w:kern w:val="2"/>
      <w:sz w:val="21"/>
      <w:szCs w:val="24"/>
      <w:lang w:val="en-US" w:eastAsia="zh-CN" w:bidi="ar-SA"/>
    </w:rPr>
  </w:style>
  <w:style w:type="character" w:customStyle="1" w:styleId="264">
    <w:name w:val="HTML 预设格式 Char1"/>
    <w:autoRedefine/>
    <w:qFormat/>
    <w:uiPriority w:val="0"/>
    <w:rPr>
      <w:rFonts w:ascii="Courier New" w:hAnsi="Courier New" w:eastAsia="宋体"/>
      <w:kern w:val="2"/>
    </w:rPr>
  </w:style>
  <w:style w:type="character" w:customStyle="1" w:styleId="265">
    <w:name w:val="Char Char4"/>
    <w:autoRedefine/>
    <w:qFormat/>
    <w:uiPriority w:val="0"/>
    <w:rPr>
      <w:rFonts w:ascii="Cambria" w:hAnsi="Cambria" w:eastAsia="宋体"/>
      <w:b/>
      <w:kern w:val="28"/>
      <w:sz w:val="32"/>
      <w:lang w:val="en-US" w:eastAsia="zh-CN"/>
    </w:rPr>
  </w:style>
  <w:style w:type="character" w:customStyle="1" w:styleId="266">
    <w:name w:val="明显强调2"/>
    <w:autoRedefine/>
    <w:qFormat/>
    <w:uiPriority w:val="99"/>
    <w:rPr>
      <w:rFonts w:ascii="Times New Roman" w:hAnsi="Times New Roman" w:eastAsia="宋体"/>
      <w:b/>
      <w:i/>
      <w:color w:val="4F81BD"/>
    </w:rPr>
  </w:style>
  <w:style w:type="character" w:customStyle="1" w:styleId="267">
    <w:name w:val="msosubtlereference"/>
    <w:autoRedefine/>
    <w:qFormat/>
    <w:uiPriority w:val="0"/>
    <w:rPr>
      <w:rFonts w:ascii="Times New Roman" w:hAnsi="Times New Roman" w:eastAsia="宋体"/>
      <w:smallCaps/>
      <w:color w:val="C0504D"/>
      <w:u w:val="single"/>
    </w:rPr>
  </w:style>
  <w:style w:type="character" w:customStyle="1" w:styleId="268">
    <w:name w:val="正文文本 2 Char1"/>
    <w:autoRedefine/>
    <w:qFormat/>
    <w:uiPriority w:val="0"/>
    <w:rPr>
      <w:rFonts w:ascii="Times New Roman" w:hAnsi="Times New Roman" w:eastAsia="宋体"/>
      <w:kern w:val="2"/>
      <w:sz w:val="24"/>
    </w:rPr>
  </w:style>
  <w:style w:type="character" w:customStyle="1" w:styleId="269">
    <w:name w:val="Intense Quote Char1"/>
    <w:autoRedefine/>
    <w:qFormat/>
    <w:locked/>
    <w:uiPriority w:val="99"/>
    <w:rPr>
      <w:b/>
      <w:i/>
      <w:color w:val="4F81BD"/>
    </w:rPr>
  </w:style>
  <w:style w:type="paragraph" w:styleId="270">
    <w:name w:val="Intense Quote"/>
    <w:basedOn w:val="1"/>
    <w:next w:val="1"/>
    <w:link w:val="271"/>
    <w:autoRedefine/>
    <w:qFormat/>
    <w:uiPriority w:val="0"/>
    <w:pPr>
      <w:pBdr>
        <w:bottom w:val="single" w:color="4F81BD" w:sz="4" w:space="4"/>
      </w:pBdr>
      <w:spacing w:before="200" w:after="280"/>
      <w:ind w:left="936" w:right="936"/>
    </w:pPr>
    <w:rPr>
      <w:b/>
      <w:i/>
      <w:color w:val="4F81BD"/>
      <w:kern w:val="0"/>
      <w:sz w:val="20"/>
      <w:szCs w:val="20"/>
    </w:rPr>
  </w:style>
  <w:style w:type="character" w:customStyle="1" w:styleId="271">
    <w:name w:val="明显引用 字符"/>
    <w:link w:val="270"/>
    <w:autoRedefine/>
    <w:qFormat/>
    <w:locked/>
    <w:uiPriority w:val="0"/>
    <w:rPr>
      <w:rFonts w:cs="Times New Roman"/>
      <w:b/>
      <w:bCs/>
      <w:i/>
      <w:iCs/>
      <w:color w:val="4F81BD"/>
      <w:sz w:val="24"/>
      <w:szCs w:val="24"/>
    </w:rPr>
  </w:style>
  <w:style w:type="character" w:customStyle="1" w:styleId="272">
    <w:name w:val="正文文本缩进 3 Char2"/>
    <w:autoRedefine/>
    <w:qFormat/>
    <w:uiPriority w:val="0"/>
    <w:rPr>
      <w:rFonts w:ascii="Times New Roman" w:hAnsi="Times New Roman" w:eastAsia="宋体"/>
      <w:kern w:val="2"/>
      <w:sz w:val="16"/>
    </w:rPr>
  </w:style>
  <w:style w:type="character" w:customStyle="1" w:styleId="273">
    <w:name w:val="不明显强调12"/>
    <w:autoRedefine/>
    <w:qFormat/>
    <w:uiPriority w:val="99"/>
    <w:rPr>
      <w:rFonts w:ascii="Times New Roman" w:hAnsi="Times New Roman" w:eastAsia="宋体"/>
      <w:i/>
      <w:color w:val="808080"/>
    </w:rPr>
  </w:style>
  <w:style w:type="character" w:customStyle="1" w:styleId="274">
    <w:name w:val="标题5 Char Char"/>
    <w:link w:val="275"/>
    <w:autoRedefine/>
    <w:qFormat/>
    <w:locked/>
    <w:uiPriority w:val="0"/>
    <w:rPr>
      <w:rFonts w:ascii="Arial" w:hAnsi="Arial"/>
      <w:b/>
      <w:sz w:val="32"/>
    </w:rPr>
  </w:style>
  <w:style w:type="paragraph" w:customStyle="1" w:styleId="275">
    <w:name w:val="标题5"/>
    <w:basedOn w:val="6"/>
    <w:link w:val="274"/>
    <w:autoRedefine/>
    <w:qFormat/>
    <w:uiPriority w:val="0"/>
    <w:pPr>
      <w:spacing w:line="413" w:lineRule="auto"/>
    </w:pPr>
    <w:rPr>
      <w:rFonts w:ascii="Arial" w:hAnsi="Arial"/>
      <w:bCs/>
    </w:rPr>
  </w:style>
  <w:style w:type="character" w:customStyle="1" w:styleId="276">
    <w:name w:val="font161"/>
    <w:autoRedefine/>
    <w:qFormat/>
    <w:uiPriority w:val="0"/>
    <w:rPr>
      <w:rFonts w:ascii="Times New Roman" w:hAnsi="Times New Roman" w:eastAsia="宋体"/>
      <w:b/>
      <w:sz w:val="32"/>
    </w:rPr>
  </w:style>
  <w:style w:type="character" w:customStyle="1" w:styleId="277">
    <w:name w:val="批注框文本 Char1"/>
    <w:autoRedefine/>
    <w:qFormat/>
    <w:uiPriority w:val="0"/>
    <w:rPr>
      <w:rFonts w:ascii="Times New Roman" w:hAnsi="Times New Roman" w:eastAsia="宋体"/>
      <w:sz w:val="18"/>
    </w:rPr>
  </w:style>
  <w:style w:type="character" w:customStyle="1" w:styleId="278">
    <w:name w:val="纯文本 Char21"/>
    <w:autoRedefine/>
    <w:qFormat/>
    <w:uiPriority w:val="0"/>
    <w:rPr>
      <w:rFonts w:ascii="宋体" w:hAnsi="Courier New" w:eastAsia="宋体"/>
      <w:kern w:val="2"/>
      <w:sz w:val="21"/>
    </w:rPr>
  </w:style>
  <w:style w:type="character" w:customStyle="1" w:styleId="279">
    <w:name w:val="Char Char3"/>
    <w:autoRedefine/>
    <w:qFormat/>
    <w:uiPriority w:val="0"/>
    <w:rPr>
      <w:rFonts w:ascii="宋体" w:hAnsi="宋体" w:eastAsia="宋体"/>
      <w:kern w:val="2"/>
      <w:sz w:val="24"/>
      <w:lang w:val="en-US" w:eastAsia="zh-CN"/>
    </w:rPr>
  </w:style>
  <w:style w:type="character" w:customStyle="1" w:styleId="280">
    <w:name w:val="引用 Char Char"/>
    <w:autoRedefine/>
    <w:qFormat/>
    <w:uiPriority w:val="0"/>
    <w:rPr>
      <w:rFonts w:ascii="宋体" w:hAnsi="宋体" w:eastAsia="宋体"/>
      <w:i/>
      <w:color w:val="000000"/>
      <w:kern w:val="2"/>
      <w:sz w:val="24"/>
    </w:rPr>
  </w:style>
  <w:style w:type="character" w:customStyle="1" w:styleId="281">
    <w:name w:val="正文文本缩进 3 Char Char"/>
    <w:autoRedefine/>
    <w:qFormat/>
    <w:uiPriority w:val="0"/>
    <w:rPr>
      <w:rFonts w:ascii="仿宋_GB2312" w:hAnsi="Times New Roman" w:eastAsia="仿宋_GB2312"/>
      <w:kern w:val="2"/>
      <w:sz w:val="24"/>
      <w:lang w:val="en-US" w:eastAsia="zh-CN"/>
    </w:rPr>
  </w:style>
  <w:style w:type="character" w:customStyle="1" w:styleId="282">
    <w:name w:val="明显参考2"/>
    <w:autoRedefine/>
    <w:qFormat/>
    <w:uiPriority w:val="99"/>
    <w:rPr>
      <w:rFonts w:ascii="Times New Roman" w:hAnsi="Times New Roman" w:eastAsia="宋体"/>
      <w:b/>
      <w:smallCaps/>
      <w:color w:val="C0504D"/>
      <w:spacing w:val="5"/>
      <w:u w:val="single"/>
    </w:rPr>
  </w:style>
  <w:style w:type="character" w:customStyle="1" w:styleId="283">
    <w:name w:val="批注文字 Char"/>
    <w:autoRedefine/>
    <w:qFormat/>
    <w:uiPriority w:val="0"/>
    <w:rPr>
      <w:rFonts w:ascii="Times New Roman" w:hAnsi="Times New Roman" w:eastAsia="宋体"/>
      <w:kern w:val="2"/>
      <w:sz w:val="24"/>
    </w:rPr>
  </w:style>
  <w:style w:type="character" w:customStyle="1" w:styleId="284">
    <w:name w:val="IRMS (F) Char11"/>
    <w:autoRedefine/>
    <w:qFormat/>
    <w:uiPriority w:val="0"/>
    <w:rPr>
      <w:rFonts w:ascii="宋体" w:hAnsi="宋体" w:eastAsia="宋体"/>
      <w:kern w:val="2"/>
      <w:sz w:val="18"/>
      <w:lang w:val="en-US" w:eastAsia="zh-CN"/>
    </w:rPr>
  </w:style>
  <w:style w:type="character" w:customStyle="1" w:styleId="285">
    <w:name w:val="zhczw Char Char"/>
    <w:link w:val="286"/>
    <w:autoRedefine/>
    <w:qFormat/>
    <w:locked/>
    <w:uiPriority w:val="0"/>
    <w:rPr>
      <w:snapToGrid w:val="0"/>
      <w:spacing w:val="8"/>
      <w:sz w:val="24"/>
    </w:rPr>
  </w:style>
  <w:style w:type="paragraph" w:customStyle="1" w:styleId="286">
    <w:name w:val="zhczw"/>
    <w:basedOn w:val="1"/>
    <w:link w:val="285"/>
    <w:autoRedefine/>
    <w:qFormat/>
    <w:uiPriority w:val="0"/>
    <w:pPr>
      <w:spacing w:line="180" w:lineRule="auto"/>
    </w:pPr>
    <w:rPr>
      <w:spacing w:val="8"/>
      <w:kern w:val="0"/>
      <w:sz w:val="24"/>
      <w:szCs w:val="20"/>
    </w:rPr>
  </w:style>
  <w:style w:type="character" w:customStyle="1" w:styleId="287">
    <w:name w:val="文档结构图 Char1"/>
    <w:autoRedefine/>
    <w:qFormat/>
    <w:uiPriority w:val="0"/>
    <w:rPr>
      <w:rFonts w:ascii="宋体" w:hAnsi="Times New Roman" w:eastAsia="宋体"/>
      <w:sz w:val="18"/>
    </w:rPr>
  </w:style>
  <w:style w:type="character" w:customStyle="1" w:styleId="288">
    <w:name w:val="Char Char24"/>
    <w:autoRedefine/>
    <w:qFormat/>
    <w:uiPriority w:val="0"/>
    <w:rPr>
      <w:rFonts w:ascii="Times New Roman" w:hAnsi="Times New Roman" w:eastAsia="宋体"/>
      <w:b/>
      <w:kern w:val="44"/>
      <w:sz w:val="44"/>
      <w:lang w:val="en-US" w:eastAsia="zh-CN"/>
    </w:rPr>
  </w:style>
  <w:style w:type="character" w:customStyle="1" w:styleId="289">
    <w:name w:val="标题 Char Char"/>
    <w:autoRedefine/>
    <w:qFormat/>
    <w:uiPriority w:val="0"/>
    <w:rPr>
      <w:rFonts w:ascii="Cambria" w:hAnsi="Cambria" w:eastAsia="宋体"/>
      <w:b/>
      <w:kern w:val="2"/>
      <w:sz w:val="32"/>
    </w:rPr>
  </w:style>
  <w:style w:type="character" w:customStyle="1" w:styleId="290">
    <w:name w:val="未处理的提及1"/>
    <w:autoRedefine/>
    <w:qFormat/>
    <w:uiPriority w:val="99"/>
    <w:rPr>
      <w:rFonts w:ascii="Times New Roman" w:hAnsi="Times New Roman" w:eastAsia="宋体"/>
      <w:color w:val="808080"/>
      <w:shd w:val="clear" w:color="auto" w:fill="E6E6E6"/>
    </w:rPr>
  </w:style>
  <w:style w:type="character" w:customStyle="1" w:styleId="291">
    <w:name w:val="Heading 3 Char1"/>
    <w:autoRedefine/>
    <w:qFormat/>
    <w:uiPriority w:val="0"/>
    <w:rPr>
      <w:rFonts w:ascii="Times New Roman" w:hAnsi="Times New Roman" w:eastAsia="宋体"/>
      <w:b/>
      <w:kern w:val="2"/>
      <w:sz w:val="32"/>
      <w:lang w:val="en-US" w:eastAsia="zh-CN"/>
    </w:rPr>
  </w:style>
  <w:style w:type="character" w:customStyle="1" w:styleId="292">
    <w:name w:val="Char Char26"/>
    <w:autoRedefine/>
    <w:qFormat/>
    <w:uiPriority w:val="0"/>
    <w:rPr>
      <w:rFonts w:ascii="Cambria" w:hAnsi="Cambria" w:eastAsia="宋体"/>
      <w:b/>
      <w:kern w:val="2"/>
      <w:sz w:val="32"/>
    </w:rPr>
  </w:style>
  <w:style w:type="character" w:customStyle="1" w:styleId="293">
    <w:name w:val="1page sec3 Char"/>
    <w:autoRedefine/>
    <w:qFormat/>
    <w:uiPriority w:val="0"/>
    <w:rPr>
      <w:rFonts w:ascii="宋体" w:hAnsi="宋体" w:eastAsia="宋体"/>
      <w:kern w:val="2"/>
      <w:sz w:val="18"/>
      <w:lang w:val="en-US" w:eastAsia="zh-CN"/>
    </w:rPr>
  </w:style>
  <w:style w:type="character" w:customStyle="1" w:styleId="294">
    <w:name w:val="Intense Quote Char Char"/>
    <w:autoRedefine/>
    <w:qFormat/>
    <w:uiPriority w:val="0"/>
    <w:rPr>
      <w:rFonts w:ascii="宋体" w:hAnsi="宋体" w:eastAsia="宋体"/>
      <w:b/>
      <w:i/>
      <w:color w:val="4F81BD"/>
      <w:kern w:val="2"/>
      <w:sz w:val="24"/>
      <w:lang w:val="en-US" w:eastAsia="zh-CN"/>
    </w:rPr>
  </w:style>
  <w:style w:type="character" w:customStyle="1" w:styleId="295">
    <w:name w:val="不明显参考11"/>
    <w:autoRedefine/>
    <w:qFormat/>
    <w:uiPriority w:val="0"/>
    <w:rPr>
      <w:rFonts w:ascii="Times New Roman" w:hAnsi="Times New Roman" w:eastAsia="宋体"/>
      <w:smallCaps/>
      <w:color w:val="C0504D"/>
      <w:u w:val="single"/>
    </w:rPr>
  </w:style>
  <w:style w:type="character" w:customStyle="1" w:styleId="296">
    <w:name w:val="标题 6 Char Char"/>
    <w:autoRedefine/>
    <w:qFormat/>
    <w:uiPriority w:val="0"/>
    <w:rPr>
      <w:rFonts w:ascii="Cambria" w:hAnsi="Cambria" w:eastAsia="宋体"/>
      <w:b/>
      <w:kern w:val="2"/>
      <w:sz w:val="24"/>
    </w:rPr>
  </w:style>
  <w:style w:type="character" w:customStyle="1" w:styleId="297">
    <w:name w:val="明显引用 Char Char"/>
    <w:autoRedefine/>
    <w:qFormat/>
    <w:uiPriority w:val="0"/>
    <w:rPr>
      <w:rFonts w:ascii="宋体" w:hAnsi="宋体" w:eastAsia="宋体"/>
      <w:b/>
      <w:i/>
      <w:color w:val="4F81BD"/>
      <w:kern w:val="2"/>
      <w:sz w:val="24"/>
    </w:rPr>
  </w:style>
  <w:style w:type="character" w:customStyle="1" w:styleId="298">
    <w:name w:val="纯文本 Char3"/>
    <w:autoRedefine/>
    <w:qFormat/>
    <w:uiPriority w:val="0"/>
    <w:rPr>
      <w:rFonts w:ascii="宋体" w:hAnsi="Courier New" w:eastAsia="宋体"/>
      <w:kern w:val="2"/>
      <w:sz w:val="21"/>
    </w:rPr>
  </w:style>
  <w:style w:type="character" w:customStyle="1" w:styleId="299">
    <w:name w:val="正文文本缩进 2 Char Char"/>
    <w:autoRedefine/>
    <w:qFormat/>
    <w:uiPriority w:val="0"/>
    <w:rPr>
      <w:rFonts w:ascii="宋体" w:hAnsi="宋体" w:eastAsia="宋体"/>
      <w:sz w:val="28"/>
      <w:lang w:val="en-US" w:eastAsia="zh-CN"/>
    </w:rPr>
  </w:style>
  <w:style w:type="character" w:customStyle="1" w:styleId="300">
    <w:name w:val="IRMS (F) Char"/>
    <w:autoRedefine/>
    <w:qFormat/>
    <w:uiPriority w:val="0"/>
    <w:rPr>
      <w:rFonts w:ascii="宋体" w:hAnsi="宋体" w:eastAsia="宋体"/>
      <w:snapToGrid w:val="0"/>
      <w:sz w:val="22"/>
      <w:lang w:val="en-US" w:eastAsia="zh-TW"/>
    </w:rPr>
  </w:style>
  <w:style w:type="character" w:customStyle="1" w:styleId="301">
    <w:name w:val="ꌢ 3 Char"/>
    <w:autoRedefine/>
    <w:qFormat/>
    <w:uiPriority w:val="0"/>
    <w:rPr>
      <w:rFonts w:ascii="???" w:hAnsi="???"/>
      <w:b/>
    </w:rPr>
  </w:style>
  <w:style w:type="character" w:customStyle="1" w:styleId="302">
    <w:name w:val="明显强调11"/>
    <w:autoRedefine/>
    <w:qFormat/>
    <w:uiPriority w:val="0"/>
    <w:rPr>
      <w:rFonts w:ascii="Times New Roman" w:hAnsi="Times New Roman" w:eastAsia="宋体"/>
      <w:b/>
      <w:i/>
      <w:color w:val="4F81BD"/>
    </w:rPr>
  </w:style>
  <w:style w:type="character" w:customStyle="1" w:styleId="303">
    <w:name w:val="标题 Char1"/>
    <w:autoRedefine/>
    <w:qFormat/>
    <w:uiPriority w:val="10"/>
    <w:rPr>
      <w:rFonts w:ascii="Cambria" w:hAnsi="Cambria" w:eastAsia="宋体"/>
      <w:b/>
      <w:sz w:val="32"/>
    </w:rPr>
  </w:style>
  <w:style w:type="character" w:customStyle="1" w:styleId="304">
    <w:name w:val="页脚 Char Char"/>
    <w:autoRedefine/>
    <w:qFormat/>
    <w:uiPriority w:val="0"/>
    <w:rPr>
      <w:rFonts w:ascii="宋体" w:hAnsi="宋体" w:eastAsia="宋体"/>
      <w:kern w:val="2"/>
      <w:sz w:val="18"/>
      <w:lang w:val="en-US" w:eastAsia="zh-CN"/>
    </w:rPr>
  </w:style>
  <w:style w:type="character" w:customStyle="1" w:styleId="305">
    <w:name w:val="标题 Char2"/>
    <w:autoRedefine/>
    <w:qFormat/>
    <w:uiPriority w:val="0"/>
    <w:rPr>
      <w:rFonts w:ascii="Cambria" w:hAnsi="Cambria" w:eastAsia="宋体"/>
      <w:b/>
      <w:sz w:val="32"/>
    </w:rPr>
  </w:style>
  <w:style w:type="character" w:customStyle="1" w:styleId="306">
    <w:name w:val="明显引用 Char2"/>
    <w:autoRedefine/>
    <w:qFormat/>
    <w:uiPriority w:val="0"/>
    <w:rPr>
      <w:rFonts w:ascii="Times New Roman" w:hAnsi="Times New Roman" w:eastAsia="宋体"/>
      <w:b/>
      <w:i/>
      <w:color w:val="4F81BD"/>
      <w:kern w:val="2"/>
      <w:sz w:val="24"/>
    </w:rPr>
  </w:style>
  <w:style w:type="character" w:customStyle="1" w:styleId="307">
    <w:name w:val="IRMS (F) Char2"/>
    <w:autoRedefine/>
    <w:qFormat/>
    <w:uiPriority w:val="0"/>
    <w:rPr>
      <w:rFonts w:ascii="Times New Roman" w:hAnsi="Times New Roman" w:eastAsia="宋体"/>
      <w:kern w:val="2"/>
      <w:sz w:val="18"/>
    </w:rPr>
  </w:style>
  <w:style w:type="character" w:customStyle="1" w:styleId="308">
    <w:name w:val="正文文本缩进 Char2"/>
    <w:autoRedefine/>
    <w:qFormat/>
    <w:uiPriority w:val="0"/>
    <w:rPr>
      <w:rFonts w:ascii="Times New Roman" w:hAnsi="Times New Roman" w:eastAsia="宋体"/>
      <w:kern w:val="2"/>
      <w:sz w:val="24"/>
    </w:rPr>
  </w:style>
  <w:style w:type="character" w:customStyle="1" w:styleId="309">
    <w:name w:val="正文文本 + 间距 0 pt3"/>
    <w:autoRedefine/>
    <w:qFormat/>
    <w:uiPriority w:val="0"/>
    <w:rPr>
      <w:rFonts w:ascii="宋体" w:hAnsi="宋体" w:eastAsia="宋体"/>
      <w:spacing w:val="10"/>
      <w:kern w:val="2"/>
      <w:sz w:val="24"/>
      <w:lang w:val="en-US" w:eastAsia="en-US"/>
    </w:rPr>
  </w:style>
  <w:style w:type="character" w:customStyle="1" w:styleId="310">
    <w:name w:val="apple-converted-space"/>
    <w:autoRedefine/>
    <w:qFormat/>
    <w:uiPriority w:val="0"/>
    <w:rPr>
      <w:rFonts w:ascii="Times New Roman" w:hAnsi="Times New Roman" w:eastAsia="宋体" w:cs="Times New Roman"/>
    </w:rPr>
  </w:style>
  <w:style w:type="character" w:customStyle="1" w:styleId="311">
    <w:name w:val="标题 2 Char1"/>
    <w:autoRedefine/>
    <w:qFormat/>
    <w:uiPriority w:val="0"/>
    <w:rPr>
      <w:rFonts w:ascii="Arial" w:hAnsi="Arial" w:eastAsia="黑体"/>
      <w:b/>
      <w:kern w:val="0"/>
      <w:sz w:val="20"/>
    </w:rPr>
  </w:style>
  <w:style w:type="character" w:customStyle="1" w:styleId="312">
    <w:name w:val="IRMS (F) Char1"/>
    <w:autoRedefine/>
    <w:qFormat/>
    <w:uiPriority w:val="0"/>
    <w:rPr>
      <w:rFonts w:ascii="宋体" w:hAnsi="宋体" w:eastAsia="宋体"/>
      <w:kern w:val="2"/>
      <w:sz w:val="18"/>
      <w:lang w:val="en-US" w:eastAsia="zh-CN"/>
    </w:rPr>
  </w:style>
  <w:style w:type="character" w:customStyle="1" w:styleId="313">
    <w:name w:val="正文文本 3 Char1"/>
    <w:autoRedefine/>
    <w:qFormat/>
    <w:uiPriority w:val="0"/>
    <w:rPr>
      <w:rFonts w:ascii="Times New Roman" w:hAnsi="Times New Roman" w:eastAsia="宋体"/>
      <w:kern w:val="2"/>
      <w:sz w:val="16"/>
    </w:rPr>
  </w:style>
  <w:style w:type="character" w:customStyle="1" w:styleId="314">
    <w:name w:val="Char Char161"/>
    <w:autoRedefine/>
    <w:qFormat/>
    <w:uiPriority w:val="0"/>
    <w:rPr>
      <w:rFonts w:ascii="Times New Roman" w:hAnsi="Times New Roman" w:eastAsia="宋体"/>
      <w:kern w:val="2"/>
      <w:sz w:val="24"/>
    </w:rPr>
  </w:style>
  <w:style w:type="character" w:customStyle="1" w:styleId="315">
    <w:name w:val="textcontents"/>
    <w:autoRedefine/>
    <w:qFormat/>
    <w:uiPriority w:val="0"/>
    <w:rPr>
      <w:rFonts w:ascii="Times New Roman" w:hAnsi="Times New Roman" w:eastAsia="宋体"/>
    </w:rPr>
  </w:style>
  <w:style w:type="character" w:customStyle="1" w:styleId="316">
    <w:name w:val="1page sec3 Char1"/>
    <w:autoRedefine/>
    <w:qFormat/>
    <w:uiPriority w:val="0"/>
    <w:rPr>
      <w:rFonts w:ascii="宋体" w:hAnsi="宋体" w:eastAsia="宋体"/>
      <w:kern w:val="2"/>
      <w:sz w:val="18"/>
      <w:lang w:val="en-US" w:eastAsia="zh-CN"/>
    </w:rPr>
  </w:style>
  <w:style w:type="character" w:customStyle="1" w:styleId="317">
    <w:name w:val="批注主题 Char1"/>
    <w:autoRedefine/>
    <w:qFormat/>
    <w:uiPriority w:val="0"/>
    <w:rPr>
      <w:rFonts w:ascii="Times New Roman" w:hAnsi="Times New Roman" w:eastAsia="宋体"/>
      <w:b/>
      <w:sz w:val="24"/>
    </w:rPr>
  </w:style>
  <w:style w:type="character" w:customStyle="1" w:styleId="318">
    <w:name w:val="Plain Text Char11"/>
    <w:autoRedefine/>
    <w:qFormat/>
    <w:uiPriority w:val="0"/>
    <w:rPr>
      <w:rFonts w:ascii="宋体" w:hAnsi="Courier New" w:eastAsia="宋体"/>
      <w:sz w:val="21"/>
    </w:rPr>
  </w:style>
  <w:style w:type="paragraph" w:customStyle="1" w:styleId="319">
    <w:name w:val="标题 1_0"/>
    <w:basedOn w:val="26"/>
    <w:next w:val="26"/>
    <w:autoRedefine/>
    <w:qFormat/>
    <w:uiPriority w:val="0"/>
    <w:pPr>
      <w:keepNext/>
      <w:keepLines/>
      <w:spacing w:before="340" w:after="330" w:line="576" w:lineRule="auto"/>
      <w:outlineLvl w:val="0"/>
    </w:pPr>
    <w:rPr>
      <w:rFonts w:ascii="Times New Roman" w:hAnsi="Times New Roman"/>
      <w:b/>
      <w:bCs/>
      <w:kern w:val="44"/>
      <w:sz w:val="44"/>
      <w:szCs w:val="44"/>
    </w:rPr>
  </w:style>
  <w:style w:type="character" w:customStyle="1" w:styleId="320">
    <w:name w:val="脚注文本 字符1"/>
    <w:autoRedefine/>
    <w:semiHidden/>
    <w:qFormat/>
    <w:uiPriority w:val="99"/>
    <w:rPr>
      <w:rFonts w:cs="Times New Roman"/>
      <w:kern w:val="2"/>
      <w:sz w:val="18"/>
      <w:szCs w:val="18"/>
    </w:rPr>
  </w:style>
  <w:style w:type="paragraph" w:customStyle="1" w:styleId="321">
    <w:name w:val="页眉与页脚"/>
    <w:autoRedefine/>
    <w:qFormat/>
    <w:uiPriority w:val="99"/>
    <w:pPr>
      <w:tabs>
        <w:tab w:val="right" w:pos="9020"/>
      </w:tabs>
      <w:spacing w:line="400" w:lineRule="exact"/>
      <w:ind w:firstLine="200" w:firstLineChars="200"/>
    </w:pPr>
    <w:rPr>
      <w:rFonts w:ascii="Helvetica Neue" w:hAnsi="Helvetica Neue" w:eastAsia="宋体" w:cs="Arial Unicode MS"/>
      <w:color w:val="000000"/>
      <w:sz w:val="24"/>
      <w:szCs w:val="24"/>
      <w:lang w:val="en-US" w:eastAsia="zh-CN" w:bidi="ar-SA"/>
    </w:rPr>
  </w:style>
  <w:style w:type="character" w:customStyle="1" w:styleId="322">
    <w:name w:val="正文文本缩进 3 字符1"/>
    <w:autoRedefine/>
    <w:semiHidden/>
    <w:qFormat/>
    <w:uiPriority w:val="99"/>
    <w:rPr>
      <w:rFonts w:cs="Times New Roman"/>
      <w:kern w:val="2"/>
      <w:sz w:val="16"/>
      <w:szCs w:val="16"/>
    </w:rPr>
  </w:style>
  <w:style w:type="paragraph" w:customStyle="1" w:styleId="323">
    <w:name w:val="reader-word-layer"/>
    <w:basedOn w:val="1"/>
    <w:autoRedefine/>
    <w:qFormat/>
    <w:uiPriority w:val="0"/>
    <w:pPr>
      <w:widowControl/>
      <w:spacing w:before="100" w:beforeAutospacing="1" w:after="100" w:afterAutospacing="1"/>
      <w:jc w:val="left"/>
    </w:pPr>
    <w:rPr>
      <w:rFonts w:ascii="宋体" w:hAnsi="宋体" w:cs="宋体"/>
      <w:kern w:val="0"/>
      <w:sz w:val="24"/>
    </w:rPr>
  </w:style>
  <w:style w:type="character" w:customStyle="1" w:styleId="324">
    <w:name w:val="正文文本缩进 2 字符1"/>
    <w:autoRedefine/>
    <w:semiHidden/>
    <w:qFormat/>
    <w:uiPriority w:val="99"/>
    <w:rPr>
      <w:rFonts w:cs="Times New Roman"/>
      <w:kern w:val="2"/>
      <w:sz w:val="24"/>
      <w:szCs w:val="24"/>
    </w:rPr>
  </w:style>
  <w:style w:type="character" w:customStyle="1" w:styleId="325">
    <w:name w:val="正文文本 3 字符1"/>
    <w:autoRedefine/>
    <w:semiHidden/>
    <w:qFormat/>
    <w:uiPriority w:val="99"/>
    <w:rPr>
      <w:rFonts w:cs="Times New Roman"/>
      <w:kern w:val="2"/>
      <w:sz w:val="16"/>
      <w:szCs w:val="16"/>
    </w:rPr>
  </w:style>
  <w:style w:type="paragraph" w:customStyle="1" w:styleId="326">
    <w:name w:val="正文 A"/>
    <w:autoRedefine/>
    <w:qFormat/>
    <w:uiPriority w:val="99"/>
    <w:pPr>
      <w:widowControl w:val="0"/>
      <w:spacing w:line="400" w:lineRule="exact"/>
      <w:ind w:firstLine="200" w:firstLineChars="200"/>
      <w:jc w:val="both"/>
    </w:pPr>
    <w:rPr>
      <w:rFonts w:ascii="Times New Roman" w:hAnsi="Times New Roman" w:eastAsia="宋体" w:cs="Arial Unicode MS"/>
      <w:color w:val="000000"/>
      <w:kern w:val="2"/>
      <w:sz w:val="21"/>
      <w:szCs w:val="21"/>
      <w:u w:color="000000"/>
      <w:lang w:val="en-US" w:eastAsia="zh-CN" w:bidi="ar-SA"/>
    </w:rPr>
  </w:style>
  <w:style w:type="character" w:customStyle="1" w:styleId="327">
    <w:name w:val="正文文本缩进 字符1"/>
    <w:link w:val="21"/>
    <w:autoRedefine/>
    <w:qFormat/>
    <w:locked/>
    <w:uiPriority w:val="0"/>
    <w:rPr>
      <w:rFonts w:cs="Times New Roman"/>
      <w:kern w:val="2"/>
      <w:sz w:val="24"/>
      <w:szCs w:val="24"/>
    </w:rPr>
  </w:style>
  <w:style w:type="character" w:customStyle="1" w:styleId="328">
    <w:name w:val="正文文本首行缩进 2 字符1"/>
    <w:autoRedefine/>
    <w:semiHidden/>
    <w:qFormat/>
    <w:uiPriority w:val="99"/>
    <w:rPr>
      <w:rFonts w:cs="Times New Roman"/>
      <w:kern w:val="2"/>
      <w:sz w:val="24"/>
      <w:szCs w:val="24"/>
    </w:rPr>
  </w:style>
  <w:style w:type="character" w:customStyle="1" w:styleId="329">
    <w:name w:val="文档结构图 字符1"/>
    <w:autoRedefine/>
    <w:semiHidden/>
    <w:qFormat/>
    <w:uiPriority w:val="99"/>
    <w:rPr>
      <w:rFonts w:ascii="Microsoft YaHei UI" w:eastAsia="Microsoft YaHei UI" w:cs="Times New Roman"/>
      <w:kern w:val="2"/>
      <w:sz w:val="18"/>
      <w:szCs w:val="18"/>
    </w:rPr>
  </w:style>
  <w:style w:type="character" w:customStyle="1" w:styleId="330">
    <w:name w:val="正文文本首行缩进 字符1"/>
    <w:autoRedefine/>
    <w:semiHidden/>
    <w:qFormat/>
    <w:uiPriority w:val="99"/>
    <w:rPr>
      <w:rFonts w:cs="Times New Roman"/>
      <w:kern w:val="2"/>
      <w:sz w:val="24"/>
      <w:szCs w:val="24"/>
    </w:rPr>
  </w:style>
  <w:style w:type="paragraph" w:customStyle="1" w:styleId="331">
    <w:name w:val="2-2ji"/>
    <w:basedOn w:val="5"/>
    <w:autoRedefine/>
    <w:qFormat/>
    <w:uiPriority w:val="0"/>
    <w:pPr>
      <w:spacing w:before="0" w:after="0" w:line="360" w:lineRule="auto"/>
      <w:jc w:val="center"/>
    </w:pPr>
    <w:rPr>
      <w:rFonts w:ascii="宋体" w:hAnsi="宋体" w:eastAsia="宋体"/>
      <w:sz w:val="36"/>
      <w:szCs w:val="24"/>
    </w:rPr>
  </w:style>
  <w:style w:type="paragraph" w:customStyle="1" w:styleId="332">
    <w:name w:val="Address"/>
    <w:basedOn w:val="1"/>
    <w:next w:val="1"/>
    <w:autoRedefine/>
    <w:qFormat/>
    <w:uiPriority w:val="0"/>
    <w:pPr>
      <w:autoSpaceDE w:val="0"/>
      <w:autoSpaceDN w:val="0"/>
      <w:adjustRightInd w:val="0"/>
      <w:jc w:val="left"/>
    </w:pPr>
    <w:rPr>
      <w:i/>
      <w:kern w:val="0"/>
      <w:sz w:val="24"/>
      <w:szCs w:val="20"/>
    </w:rPr>
  </w:style>
  <w:style w:type="character" w:customStyle="1" w:styleId="333">
    <w:name w:val="引用 字符1"/>
    <w:autoRedefine/>
    <w:qFormat/>
    <w:uiPriority w:val="99"/>
    <w:rPr>
      <w:rFonts w:cs="Times New Roman"/>
      <w:i/>
      <w:iCs/>
      <w:color w:val="404040"/>
      <w:kern w:val="2"/>
      <w:sz w:val="24"/>
      <w:szCs w:val="24"/>
    </w:rPr>
  </w:style>
  <w:style w:type="paragraph" w:customStyle="1" w:styleId="334">
    <w:name w:val="_Style 37"/>
    <w:basedOn w:val="1"/>
    <w:next w:val="1"/>
    <w:autoRedefine/>
    <w:qFormat/>
    <w:uiPriority w:val="0"/>
  </w:style>
  <w:style w:type="paragraph" w:customStyle="1" w:styleId="335">
    <w:name w:val="flNote"/>
    <w:basedOn w:val="1"/>
    <w:autoRedefine/>
    <w:qFormat/>
    <w:uiPriority w:val="0"/>
    <w:pPr>
      <w:adjustRightInd w:val="0"/>
      <w:spacing w:before="320" w:after="160" w:line="360" w:lineRule="atLeast"/>
      <w:jc w:val="center"/>
      <w:textAlignment w:val="baseline"/>
    </w:pPr>
    <w:rPr>
      <w:rFonts w:ascii="Arial" w:eastAsia="黑体"/>
      <w:kern w:val="0"/>
      <w:sz w:val="30"/>
      <w:szCs w:val="20"/>
    </w:rPr>
  </w:style>
  <w:style w:type="paragraph" w:customStyle="1" w:styleId="336">
    <w:name w:val="TOC 标题_0"/>
    <w:basedOn w:val="319"/>
    <w:next w:val="26"/>
    <w:autoRedefine/>
    <w:qFormat/>
    <w:uiPriority w:val="0"/>
    <w:pPr>
      <w:outlineLvl w:val="9"/>
    </w:pPr>
    <w:rPr>
      <w:rFonts w:ascii="Calibri" w:hAnsi="Calibri"/>
    </w:rPr>
  </w:style>
  <w:style w:type="paragraph" w:customStyle="1" w:styleId="337">
    <w:name w:val="正文文本_0"/>
    <w:basedOn w:val="26"/>
    <w:autoRedefine/>
    <w:qFormat/>
    <w:uiPriority w:val="0"/>
    <w:pPr>
      <w:adjustRightInd w:val="0"/>
      <w:spacing w:after="60" w:line="360" w:lineRule="atLeast"/>
      <w:ind w:left="72" w:leftChars="30" w:right="30" w:rightChars="30"/>
      <w:jc w:val="center"/>
      <w:textAlignment w:val="baseline"/>
    </w:pPr>
    <w:rPr>
      <w:rFonts w:ascii="Times New Roman" w:hAnsi="Times New Roman"/>
      <w:kern w:val="0"/>
      <w:sz w:val="20"/>
      <w:szCs w:val="20"/>
    </w:rPr>
  </w:style>
  <w:style w:type="paragraph" w:customStyle="1" w:styleId="338">
    <w:name w:val="样式 标题 3 + (中文) 黑体 小四 非加粗 段前: 7.8 磅 段后: 0 磅 行距: 固定值 20 磅"/>
    <w:basedOn w:val="6"/>
    <w:autoRedefine/>
    <w:qFormat/>
    <w:uiPriority w:val="0"/>
    <w:pPr>
      <w:spacing w:before="0" w:after="0" w:line="400" w:lineRule="exact"/>
    </w:pPr>
    <w:rPr>
      <w:rFonts w:cs="宋体"/>
      <w:b w:val="0"/>
      <w:sz w:val="21"/>
    </w:rPr>
  </w:style>
  <w:style w:type="character" w:customStyle="1" w:styleId="339">
    <w:name w:val="副标题 字符1"/>
    <w:autoRedefine/>
    <w:qFormat/>
    <w:uiPriority w:val="99"/>
    <w:rPr>
      <w:rFonts w:ascii="Calibri" w:hAnsi="Calibri" w:eastAsia="宋体" w:cs="Times New Roman"/>
      <w:b/>
      <w:bCs/>
      <w:kern w:val="28"/>
      <w:sz w:val="32"/>
      <w:szCs w:val="32"/>
    </w:rPr>
  </w:style>
  <w:style w:type="paragraph" w:customStyle="1" w:styleId="340">
    <w:name w:val="Char1"/>
    <w:basedOn w:val="1"/>
    <w:autoRedefine/>
    <w:qFormat/>
    <w:uiPriority w:val="0"/>
    <w:pPr>
      <w:widowControl/>
      <w:spacing w:after="160" w:line="240" w:lineRule="exact"/>
      <w:jc w:val="left"/>
    </w:pPr>
  </w:style>
  <w:style w:type="paragraph" w:customStyle="1" w:styleId="341">
    <w:name w:val="列出段落1"/>
    <w:basedOn w:val="1"/>
    <w:autoRedefine/>
    <w:qFormat/>
    <w:uiPriority w:val="0"/>
    <w:pPr>
      <w:ind w:firstLine="420"/>
    </w:pPr>
    <w:rPr>
      <w:rFonts w:ascii="Calibri" w:hAnsi="Calibri"/>
      <w:szCs w:val="22"/>
    </w:rPr>
  </w:style>
  <w:style w:type="paragraph" w:customStyle="1" w:styleId="342">
    <w:name w:val="正文缩进_0"/>
    <w:basedOn w:val="343"/>
    <w:autoRedefine/>
    <w:qFormat/>
    <w:uiPriority w:val="0"/>
    <w:pPr>
      <w:widowControl w:val="0"/>
      <w:ind w:firstLine="420"/>
      <w:jc w:val="both"/>
    </w:pPr>
    <w:rPr>
      <w:kern w:val="2"/>
      <w:u w:val="single"/>
    </w:rPr>
  </w:style>
  <w:style w:type="paragraph" w:customStyle="1" w:styleId="343">
    <w:name w:val="正文_1"/>
    <w:autoRedefine/>
    <w:qFormat/>
    <w:uiPriority w:val="0"/>
    <w:pPr>
      <w:spacing w:line="400" w:lineRule="exact"/>
      <w:ind w:firstLine="200" w:firstLineChars="200"/>
    </w:pPr>
    <w:rPr>
      <w:rFonts w:ascii="Times New Roman" w:hAnsi="Times New Roman" w:eastAsia="宋体" w:cs="Times New Roman"/>
      <w:sz w:val="21"/>
      <w:szCs w:val="22"/>
      <w:lang w:val="en-US" w:eastAsia="zh-CN" w:bidi="ar-SA"/>
    </w:rPr>
  </w:style>
  <w:style w:type="character" w:customStyle="1" w:styleId="344">
    <w:name w:val="正文文本 2 字符1"/>
    <w:autoRedefine/>
    <w:semiHidden/>
    <w:qFormat/>
    <w:uiPriority w:val="99"/>
    <w:rPr>
      <w:rFonts w:cs="Times New Roman"/>
      <w:kern w:val="2"/>
      <w:sz w:val="24"/>
      <w:szCs w:val="24"/>
    </w:rPr>
  </w:style>
  <w:style w:type="paragraph" w:customStyle="1" w:styleId="345">
    <w:name w:val="2"/>
    <w:next w:val="25"/>
    <w:autoRedefine/>
    <w:qFormat/>
    <w:uiPriority w:val="99"/>
    <w:pPr>
      <w:widowControl w:val="0"/>
      <w:tabs>
        <w:tab w:val="right" w:leader="dot" w:pos="8778"/>
      </w:tabs>
      <w:spacing w:line="400" w:lineRule="exact"/>
      <w:ind w:left="420" w:firstLine="200" w:firstLineChars="200"/>
      <w:jc w:val="both"/>
    </w:pPr>
    <w:rPr>
      <w:rFonts w:ascii="Calibri" w:hAnsi="Calibri" w:eastAsia="宋体" w:cs="Calibri"/>
      <w:color w:val="000000"/>
      <w:kern w:val="2"/>
      <w:sz w:val="21"/>
      <w:szCs w:val="21"/>
      <w:u w:color="000000"/>
      <w:lang w:val="en-US" w:eastAsia="zh-CN" w:bidi="ar-SA"/>
    </w:rPr>
  </w:style>
  <w:style w:type="paragraph" w:customStyle="1" w:styleId="346">
    <w:name w:val="表头A"/>
    <w:basedOn w:val="1"/>
    <w:autoRedefine/>
    <w:qFormat/>
    <w:uiPriority w:val="99"/>
    <w:pPr>
      <w:spacing w:before="160" w:after="60" w:line="312" w:lineRule="exact"/>
      <w:jc w:val="center"/>
    </w:pPr>
    <w:rPr>
      <w:rFonts w:ascii="EU-F1" w:eastAsia="黑体"/>
      <w:kern w:val="21"/>
      <w:szCs w:val="21"/>
    </w:rPr>
  </w:style>
  <w:style w:type="paragraph" w:customStyle="1" w:styleId="347">
    <w:name w:val="标题 3_0"/>
    <w:basedOn w:val="26"/>
    <w:next w:val="26"/>
    <w:autoRedefine/>
    <w:qFormat/>
    <w:uiPriority w:val="0"/>
    <w:pPr>
      <w:keepNext/>
      <w:keepLines/>
      <w:spacing w:before="260" w:after="260" w:line="413" w:lineRule="auto"/>
      <w:outlineLvl w:val="2"/>
    </w:pPr>
    <w:rPr>
      <w:rFonts w:ascii="Times New Roman" w:hAnsi="Times New Roman"/>
      <w:b/>
      <w:bCs/>
      <w:sz w:val="32"/>
      <w:szCs w:val="32"/>
    </w:rPr>
  </w:style>
  <w:style w:type="character" w:customStyle="1" w:styleId="348">
    <w:name w:val="HTML 预设格式 字符1"/>
    <w:autoRedefine/>
    <w:semiHidden/>
    <w:qFormat/>
    <w:uiPriority w:val="99"/>
    <w:rPr>
      <w:rFonts w:ascii="Courier New" w:hAnsi="Courier New" w:cs="Courier New"/>
      <w:kern w:val="2"/>
    </w:rPr>
  </w:style>
  <w:style w:type="paragraph" w:customStyle="1" w:styleId="349">
    <w:name w:val="空半行"/>
    <w:basedOn w:val="1"/>
    <w:autoRedefine/>
    <w:qFormat/>
    <w:uiPriority w:val="0"/>
    <w:pPr>
      <w:adjustRightInd w:val="0"/>
      <w:spacing w:line="120" w:lineRule="exact"/>
      <w:textAlignment w:val="baseline"/>
    </w:pPr>
    <w:rPr>
      <w:rFonts w:eastAsia="仿宋_GB2312"/>
      <w:color w:val="FFFFFF"/>
      <w:kern w:val="0"/>
      <w:sz w:val="30"/>
      <w:szCs w:val="20"/>
    </w:rPr>
  </w:style>
  <w:style w:type="paragraph" w:customStyle="1" w:styleId="350">
    <w:name w:val="TOC 标题1"/>
    <w:basedOn w:val="4"/>
    <w:next w:val="1"/>
    <w:autoRedefine/>
    <w:qFormat/>
    <w:uiPriority w:val="0"/>
    <w:pPr>
      <w:keepLines/>
      <w:widowControl/>
      <w:autoSpaceDE/>
      <w:autoSpaceDN/>
      <w:adjustRightInd/>
      <w:spacing w:before="480" w:line="276" w:lineRule="auto"/>
      <w:outlineLvl w:val="9"/>
    </w:pPr>
    <w:rPr>
      <w:rFonts w:ascii="Cambria" w:hAnsi="Cambria"/>
      <w:bCs/>
      <w:color w:val="365F91"/>
      <w:kern w:val="0"/>
      <w:szCs w:val="28"/>
    </w:rPr>
  </w:style>
  <w:style w:type="paragraph" w:customStyle="1" w:styleId="351">
    <w:name w:val="1"/>
    <w:basedOn w:val="1"/>
    <w:next w:val="1"/>
    <w:autoRedefine/>
    <w:qFormat/>
    <w:uiPriority w:val="0"/>
  </w:style>
  <w:style w:type="paragraph" w:customStyle="1" w:styleId="352">
    <w:name w:val="Table Paragraph"/>
    <w:basedOn w:val="1"/>
    <w:autoRedefine/>
    <w:qFormat/>
    <w:uiPriority w:val="99"/>
    <w:pPr>
      <w:autoSpaceDE w:val="0"/>
      <w:autoSpaceDN w:val="0"/>
      <w:jc w:val="left"/>
    </w:pPr>
    <w:rPr>
      <w:rFonts w:ascii="宋体" w:hAnsi="宋体" w:cs="宋体"/>
      <w:kern w:val="0"/>
      <w:sz w:val="22"/>
      <w:szCs w:val="22"/>
      <w:lang w:val="zh-CN"/>
    </w:rPr>
  </w:style>
  <w:style w:type="paragraph" w:customStyle="1" w:styleId="353">
    <w:name w:val="p0"/>
    <w:basedOn w:val="1"/>
    <w:autoRedefine/>
    <w:qFormat/>
    <w:uiPriority w:val="0"/>
    <w:pPr>
      <w:widowControl/>
    </w:pPr>
    <w:rPr>
      <w:rFonts w:ascii="Calibri" w:hAnsi="Calibri" w:cs="宋体"/>
      <w:kern w:val="0"/>
      <w:szCs w:val="21"/>
    </w:rPr>
  </w:style>
  <w:style w:type="character" w:customStyle="1" w:styleId="354">
    <w:name w:val="明显引用 字符1"/>
    <w:autoRedefine/>
    <w:qFormat/>
    <w:uiPriority w:val="99"/>
    <w:rPr>
      <w:rFonts w:cs="Times New Roman"/>
      <w:i/>
      <w:iCs/>
      <w:color w:val="5B9BD5"/>
      <w:kern w:val="2"/>
      <w:sz w:val="24"/>
      <w:szCs w:val="24"/>
    </w:rPr>
  </w:style>
  <w:style w:type="character" w:customStyle="1" w:styleId="355">
    <w:name w:val="标题 字符1"/>
    <w:autoRedefine/>
    <w:qFormat/>
    <w:uiPriority w:val="99"/>
    <w:rPr>
      <w:rFonts w:ascii="Calibri Light" w:hAnsi="Calibri Light" w:eastAsia="宋体" w:cs="Times New Roman"/>
      <w:b/>
      <w:bCs/>
      <w:kern w:val="2"/>
      <w:sz w:val="32"/>
      <w:szCs w:val="32"/>
    </w:rPr>
  </w:style>
  <w:style w:type="paragraph" w:customStyle="1" w:styleId="356">
    <w:name w:val="样式 标题 2 + Times New Roman 四号 非加粗 段前: 5 磅 段后: 0 磅 行距: 固定值 20..."/>
    <w:basedOn w:val="5"/>
    <w:autoRedefine/>
    <w:qFormat/>
    <w:uiPriority w:val="0"/>
    <w:pPr>
      <w:spacing w:before="100" w:after="0" w:line="400" w:lineRule="exact"/>
    </w:pPr>
    <w:rPr>
      <w:rFonts w:ascii="Times New Roman" w:hAnsi="Times New Roman" w:eastAsia="宋体" w:cs="宋体"/>
      <w:b w:val="0"/>
      <w:kern w:val="0"/>
      <w:sz w:val="28"/>
    </w:rPr>
  </w:style>
  <w:style w:type="character" w:customStyle="1" w:styleId="357">
    <w:name w:val="尾注文本 字符1"/>
    <w:autoRedefine/>
    <w:semiHidden/>
    <w:qFormat/>
    <w:uiPriority w:val="99"/>
    <w:rPr>
      <w:rFonts w:cs="Times New Roman"/>
      <w:kern w:val="2"/>
      <w:sz w:val="24"/>
      <w:szCs w:val="24"/>
    </w:rPr>
  </w:style>
  <w:style w:type="paragraph" w:customStyle="1" w:styleId="358">
    <w:name w:val="Blockquote"/>
    <w:basedOn w:val="1"/>
    <w:autoRedefine/>
    <w:qFormat/>
    <w:uiPriority w:val="0"/>
    <w:pPr>
      <w:autoSpaceDE w:val="0"/>
      <w:autoSpaceDN w:val="0"/>
      <w:adjustRightInd w:val="0"/>
      <w:spacing w:before="100" w:after="100"/>
      <w:ind w:left="360" w:right="360"/>
      <w:jc w:val="left"/>
    </w:pPr>
    <w:rPr>
      <w:kern w:val="0"/>
      <w:sz w:val="24"/>
      <w:szCs w:val="20"/>
    </w:rPr>
  </w:style>
  <w:style w:type="paragraph" w:customStyle="1" w:styleId="359">
    <w:name w:val="标题_0"/>
    <w:basedOn w:val="343"/>
    <w:autoRedefine/>
    <w:qFormat/>
    <w:uiPriority w:val="0"/>
    <w:pPr>
      <w:spacing w:before="120" w:after="120" w:line="360" w:lineRule="auto"/>
      <w:jc w:val="center"/>
      <w:outlineLvl w:val="0"/>
    </w:pPr>
    <w:rPr>
      <w:rFonts w:ascii="黑体" w:hAnsi="Arial" w:eastAsia="黑体"/>
      <w:b/>
      <w:bCs/>
      <w:kern w:val="2"/>
      <w:sz w:val="32"/>
      <w:szCs w:val="32"/>
    </w:rPr>
  </w:style>
  <w:style w:type="paragraph" w:customStyle="1" w:styleId="360">
    <w:name w:val="Char Char Char Char"/>
    <w:basedOn w:val="1"/>
    <w:autoRedefine/>
    <w:qFormat/>
    <w:uiPriority w:val="0"/>
    <w:pPr>
      <w:widowControl/>
      <w:spacing w:line="500" w:lineRule="exact"/>
      <w:outlineLvl w:val="2"/>
    </w:pPr>
    <w:rPr>
      <w:rFonts w:ascii="黑体" w:hAnsi="Verdana" w:eastAsia="黑体" w:cs="黑体"/>
      <w:kern w:val="0"/>
      <w:sz w:val="28"/>
      <w:szCs w:val="28"/>
      <w:lang w:eastAsia="en-US"/>
    </w:rPr>
  </w:style>
  <w:style w:type="paragraph" w:customStyle="1" w:styleId="361">
    <w:name w:val="标题 4_0"/>
    <w:basedOn w:val="26"/>
    <w:next w:val="26"/>
    <w:autoRedefine/>
    <w:qFormat/>
    <w:uiPriority w:val="0"/>
    <w:pPr>
      <w:keepNext/>
      <w:keepLines/>
      <w:spacing w:before="280" w:after="290" w:line="372" w:lineRule="auto"/>
      <w:outlineLvl w:val="3"/>
    </w:pPr>
    <w:rPr>
      <w:rFonts w:ascii="Cambria" w:hAnsi="Cambria"/>
      <w:b/>
      <w:bCs/>
      <w:sz w:val="28"/>
      <w:szCs w:val="28"/>
    </w:rPr>
  </w:style>
  <w:style w:type="paragraph" w:customStyle="1" w:styleId="362">
    <w:name w:val="TOC 标题2"/>
    <w:basedOn w:val="4"/>
    <w:next w:val="1"/>
    <w:autoRedefine/>
    <w:qFormat/>
    <w:uiPriority w:val="99"/>
    <w:pPr>
      <w:keepLines/>
      <w:autoSpaceDE/>
      <w:autoSpaceDN/>
      <w:adjustRightInd/>
      <w:spacing w:before="340" w:after="330" w:line="576" w:lineRule="auto"/>
      <w:jc w:val="both"/>
      <w:outlineLvl w:val="9"/>
    </w:pPr>
    <w:rPr>
      <w:rFonts w:ascii="Calibri" w:hAnsi="Calibri"/>
      <w:bCs/>
      <w:kern w:val="44"/>
      <w:sz w:val="44"/>
      <w:szCs w:val="44"/>
    </w:rPr>
  </w:style>
  <w:style w:type="paragraph" w:customStyle="1" w:styleId="363">
    <w:name w:val="Char Char Char Char Char Char Char"/>
    <w:basedOn w:val="1"/>
    <w:autoRedefine/>
    <w:qFormat/>
    <w:uiPriority w:val="0"/>
    <w:pPr>
      <w:widowControl/>
      <w:spacing w:after="160" w:line="240" w:lineRule="exact"/>
      <w:jc w:val="left"/>
    </w:pPr>
  </w:style>
  <w:style w:type="table" w:customStyle="1" w:styleId="364">
    <w:name w:val="Table Normal1"/>
    <w:autoRedefine/>
    <w:qFormat/>
    <w:uiPriority w:val="99"/>
    <w:tblPr>
      <w:tblCellMar>
        <w:top w:w="0" w:type="dxa"/>
        <w:left w:w="0" w:type="dxa"/>
        <w:bottom w:w="0" w:type="dxa"/>
        <w:right w:w="0" w:type="dxa"/>
      </w:tblCellMar>
    </w:tblPr>
  </w:style>
  <w:style w:type="paragraph" w:customStyle="1" w:styleId="365">
    <w:name w:val="普通正文"/>
    <w:basedOn w:val="1"/>
    <w:autoRedefine/>
    <w:qFormat/>
    <w:uiPriority w:val="99"/>
    <w:pPr>
      <w:adjustRightInd w:val="0"/>
      <w:spacing w:before="120" w:after="120" w:line="360" w:lineRule="auto"/>
      <w:ind w:firstLine="480"/>
      <w:jc w:val="left"/>
      <w:textAlignment w:val="baseline"/>
    </w:pPr>
    <w:rPr>
      <w:rFonts w:ascii="Arial" w:hAnsi="Arial"/>
      <w:kern w:val="0"/>
      <w:sz w:val="24"/>
    </w:rPr>
  </w:style>
  <w:style w:type="table" w:customStyle="1" w:styleId="366">
    <w:name w:val="Table Normal"/>
    <w:autoRedefine/>
    <w:unhideWhenUsed/>
    <w:qFormat/>
    <w:uiPriority w:val="0"/>
    <w:rPr>
      <w:rFonts w:ascii="Calibri" w:hAnsi="Calibri"/>
    </w:rPr>
    <w:tblPr>
      <w:tblCellMar>
        <w:top w:w="0" w:type="dxa"/>
        <w:left w:w="0" w:type="dxa"/>
        <w:bottom w:w="0" w:type="dxa"/>
        <w:right w:w="0" w:type="dxa"/>
      </w:tblCellMar>
    </w:tblPr>
  </w:style>
  <w:style w:type="table" w:customStyle="1" w:styleId="367">
    <w:name w:val="Table Normal2"/>
    <w:autoRedefine/>
    <w:unhideWhenUsed/>
    <w:qFormat/>
    <w:uiPriority w:val="0"/>
    <w:rPr>
      <w:rFonts w:ascii="Calibri" w:hAnsi="Calibri"/>
    </w:rPr>
    <w:tblPr>
      <w:tblCellMar>
        <w:top w:w="0" w:type="dxa"/>
        <w:left w:w="0" w:type="dxa"/>
        <w:bottom w:w="0" w:type="dxa"/>
        <w:right w:w="0" w:type="dxa"/>
      </w:tblCellMar>
    </w:tblPr>
  </w:style>
  <w:style w:type="character" w:customStyle="1" w:styleId="368">
    <w:name w:val="不明显强调2"/>
    <w:autoRedefine/>
    <w:qFormat/>
    <w:uiPriority w:val="0"/>
    <w:rPr>
      <w:i/>
      <w:iCs/>
      <w:color w:val="808080"/>
    </w:rPr>
  </w:style>
  <w:style w:type="character" w:customStyle="1" w:styleId="369">
    <w:name w:val="Quote Char"/>
    <w:autoRedefine/>
    <w:qFormat/>
    <w:uiPriority w:val="0"/>
    <w:rPr>
      <w:i/>
      <w:color w:val="000000"/>
      <w:kern w:val="2"/>
      <w:sz w:val="21"/>
      <w:szCs w:val="24"/>
    </w:rPr>
  </w:style>
  <w:style w:type="character" w:customStyle="1" w:styleId="370">
    <w:name w:val="明显强调3"/>
    <w:autoRedefine/>
    <w:qFormat/>
    <w:uiPriority w:val="0"/>
    <w:rPr>
      <w:b/>
      <w:bCs/>
      <w:i/>
      <w:iCs/>
      <w:color w:val="4F81BD"/>
    </w:rPr>
  </w:style>
  <w:style w:type="character" w:customStyle="1" w:styleId="371">
    <w:name w:val="不明显参考2"/>
    <w:autoRedefine/>
    <w:qFormat/>
    <w:uiPriority w:val="0"/>
    <w:rPr>
      <w:smallCaps/>
      <w:color w:val="C0504D"/>
      <w:u w:val="single"/>
    </w:rPr>
  </w:style>
  <w:style w:type="character" w:customStyle="1" w:styleId="372">
    <w:name w:val="明显参考3"/>
    <w:autoRedefine/>
    <w:qFormat/>
    <w:uiPriority w:val="0"/>
    <w:rPr>
      <w:b/>
      <w:bCs/>
      <w:smallCaps/>
      <w:color w:val="C0504D"/>
      <w:spacing w:val="5"/>
      <w:u w:val="single"/>
    </w:rPr>
  </w:style>
  <w:style w:type="character" w:customStyle="1" w:styleId="373">
    <w:name w:val="书籍标题3"/>
    <w:autoRedefine/>
    <w:qFormat/>
    <w:uiPriority w:val="0"/>
    <w:rPr>
      <w:b/>
      <w:bCs/>
      <w:smallCaps/>
      <w:spacing w:val="5"/>
    </w:rPr>
  </w:style>
  <w:style w:type="character" w:customStyle="1" w:styleId="374">
    <w:name w:val="未处理的提及2"/>
    <w:autoRedefine/>
    <w:qFormat/>
    <w:uiPriority w:val="0"/>
    <w:rPr>
      <w:color w:val="808080"/>
      <w:shd w:val="clear" w:color="auto" w:fill="E6E6E6"/>
    </w:rPr>
  </w:style>
  <w:style w:type="paragraph" w:customStyle="1" w:styleId="375">
    <w:name w:val="样式1"/>
    <w:basedOn w:val="1"/>
    <w:autoRedefine/>
    <w:qFormat/>
    <w:uiPriority w:val="0"/>
    <w:pPr>
      <w:spacing w:line="360" w:lineRule="auto"/>
      <w:ind w:firstLine="420"/>
    </w:pPr>
    <w:rPr>
      <w:rFonts w:ascii="宋体" w:hAnsi="宋体"/>
      <w:szCs w:val="21"/>
    </w:rPr>
  </w:style>
  <w:style w:type="paragraph" w:customStyle="1" w:styleId="376">
    <w:name w:val="TOC 标题3"/>
    <w:basedOn w:val="4"/>
    <w:next w:val="1"/>
    <w:autoRedefine/>
    <w:qFormat/>
    <w:uiPriority w:val="0"/>
    <w:pPr>
      <w:keepLines/>
      <w:autoSpaceDE/>
      <w:autoSpaceDN/>
      <w:adjustRightInd/>
      <w:spacing w:before="340" w:after="330" w:line="576" w:lineRule="auto"/>
      <w:jc w:val="both"/>
      <w:outlineLvl w:val="9"/>
    </w:pPr>
    <w:rPr>
      <w:rFonts w:ascii="Calibri" w:hAnsi="Calibri"/>
      <w:bCs/>
      <w:kern w:val="44"/>
      <w:sz w:val="44"/>
      <w:szCs w:val="44"/>
    </w:rPr>
  </w:style>
  <w:style w:type="paragraph" w:customStyle="1" w:styleId="377">
    <w:name w:val="修订2"/>
    <w:autoRedefine/>
    <w:qFormat/>
    <w:uiPriority w:val="0"/>
    <w:pPr>
      <w:spacing w:line="400" w:lineRule="exact"/>
      <w:ind w:firstLine="200" w:firstLineChars="200"/>
    </w:pPr>
    <w:rPr>
      <w:rFonts w:ascii="Times New Roman" w:hAnsi="Times New Roman" w:eastAsia="宋体" w:cs="Times New Roman"/>
      <w:kern w:val="2"/>
      <w:sz w:val="21"/>
      <w:szCs w:val="24"/>
      <w:lang w:val="en-US" w:eastAsia="zh-CN" w:bidi="ar-SA"/>
    </w:rPr>
  </w:style>
  <w:style w:type="paragraph" w:customStyle="1" w:styleId="378">
    <w:name w:val="TOC 标题4"/>
    <w:basedOn w:val="4"/>
    <w:next w:val="1"/>
    <w:autoRedefine/>
    <w:unhideWhenUsed/>
    <w:qFormat/>
    <w:uiPriority w:val="39"/>
    <w:pPr>
      <w:keepLines/>
      <w:widowControl/>
      <w:autoSpaceDE/>
      <w:autoSpaceDN/>
      <w:adjustRightInd/>
      <w:spacing w:before="480" w:line="276" w:lineRule="auto"/>
      <w:outlineLvl w:val="9"/>
    </w:pPr>
    <w:rPr>
      <w:rFonts w:asciiTheme="majorHAnsi" w:hAnsiTheme="majorHAnsi" w:eastAsiaTheme="majorEastAsia" w:cstheme="majorBidi"/>
      <w:bCs/>
      <w:color w:val="376092" w:themeColor="accent1" w:themeShade="BF"/>
      <w:kern w:val="0"/>
      <w:sz w:val="28"/>
      <w:szCs w:val="28"/>
    </w:rPr>
  </w:style>
  <w:style w:type="paragraph" w:customStyle="1" w:styleId="379">
    <w:name w:val="列表段落1"/>
    <w:basedOn w:val="1"/>
    <w:autoRedefine/>
    <w:qFormat/>
    <w:uiPriority w:val="0"/>
    <w:pPr>
      <w:ind w:firstLine="420"/>
    </w:pPr>
    <w:rPr>
      <w:rFonts w:ascii="Calibri" w:hAnsi="Calibri" w:cs="Calibri"/>
      <w:szCs w:val="21"/>
    </w:rPr>
  </w:style>
  <w:style w:type="character" w:customStyle="1" w:styleId="380">
    <w:name w:val="font71"/>
    <w:basedOn w:val="51"/>
    <w:autoRedefine/>
    <w:qFormat/>
    <w:uiPriority w:val="0"/>
    <w:rPr>
      <w:rFonts w:hint="default" w:ascii="Times New Roman" w:hAnsi="Times New Roman" w:cs="Times New Roman"/>
      <w:color w:val="000000"/>
      <w:sz w:val="28"/>
      <w:szCs w:val="28"/>
      <w:u w:val="none"/>
    </w:rPr>
  </w:style>
  <w:style w:type="paragraph" w:customStyle="1" w:styleId="381">
    <w:name w:val="修订3"/>
    <w:autoRedefine/>
    <w:hidden/>
    <w:semiHidden/>
    <w:qFormat/>
    <w:uiPriority w:val="99"/>
    <w:rPr>
      <w:rFonts w:ascii="Times New Roman" w:hAnsi="Times New Roman" w:eastAsia="宋体" w:cs="Times New Roman"/>
      <w:kern w:val="2"/>
      <w:sz w:val="21"/>
      <w:szCs w:val="24"/>
      <w:lang w:val="en-US" w:eastAsia="zh-CN" w:bidi="ar-SA"/>
    </w:rPr>
  </w:style>
  <w:style w:type="paragraph" w:customStyle="1" w:styleId="382">
    <w:name w:val="_Style 30"/>
    <w:basedOn w:val="1"/>
    <w:next w:val="108"/>
    <w:autoRedefine/>
    <w:qFormat/>
    <w:uiPriority w:val="99"/>
    <w:pPr>
      <w:spacing w:line="560" w:lineRule="exact"/>
      <w:ind w:firstLine="420"/>
    </w:pPr>
    <w:rPr>
      <w:rFonts w:eastAsia="仿宋"/>
      <w:sz w:val="32"/>
      <w:szCs w:val="20"/>
    </w:rPr>
  </w:style>
  <w:style w:type="paragraph" w:customStyle="1" w:styleId="383">
    <w:name w:val="修订4"/>
    <w:autoRedefine/>
    <w:hidden/>
    <w:unhideWhenUsed/>
    <w:qFormat/>
    <w:uiPriority w:val="99"/>
    <w:rPr>
      <w:rFonts w:ascii="Times New Roman" w:hAnsi="Times New Roman" w:eastAsia="宋体" w:cs="Times New Roman"/>
      <w:kern w:val="2"/>
      <w:sz w:val="21"/>
      <w:szCs w:val="24"/>
      <w:lang w:val="en-US" w:eastAsia="zh-CN" w:bidi="ar-SA"/>
    </w:rPr>
  </w:style>
  <w:style w:type="character" w:customStyle="1" w:styleId="384">
    <w:name w:val="font21"/>
    <w:basedOn w:val="51"/>
    <w:autoRedefine/>
    <w:qFormat/>
    <w:uiPriority w:val="0"/>
    <w:rPr>
      <w:rFonts w:hint="eastAsia" w:ascii="方正仿宋_GBK" w:hAnsi="方正仿宋_GBK" w:eastAsia="方正仿宋_GBK" w:cs="方正仿宋_GBK"/>
      <w:color w:val="000000"/>
      <w:sz w:val="28"/>
      <w:szCs w:val="28"/>
      <w:u w:val="none"/>
    </w:rPr>
  </w:style>
  <w:style w:type="character" w:customStyle="1" w:styleId="385">
    <w:name w:val="font31"/>
    <w:basedOn w:val="51"/>
    <w:autoRedefine/>
    <w:qFormat/>
    <w:uiPriority w:val="0"/>
    <w:rPr>
      <w:rFonts w:hint="default" w:ascii="Times New Roman" w:hAnsi="Times New Roman" w:cs="Times New Roman"/>
      <w:color w:val="000000"/>
      <w:sz w:val="28"/>
      <w:szCs w:val="28"/>
      <w:u w:val="none"/>
    </w:rPr>
  </w:style>
  <w:style w:type="character" w:customStyle="1" w:styleId="386">
    <w:name w:val="font01"/>
    <w:basedOn w:val="51"/>
    <w:autoRedefine/>
    <w:qFormat/>
    <w:uiPriority w:val="0"/>
    <w:rPr>
      <w:rFonts w:hint="eastAsia" w:ascii="宋体" w:hAnsi="宋体" w:eastAsia="宋体" w:cs="宋体"/>
      <w:color w:val="000000"/>
      <w:sz w:val="20"/>
      <w:szCs w:val="20"/>
      <w:u w:val="none"/>
    </w:rPr>
  </w:style>
  <w:style w:type="paragraph" w:customStyle="1" w:styleId="387">
    <w:name w:val="正文 宋 4-"/>
    <w:autoRedefine/>
    <w:qFormat/>
    <w:uiPriority w:val="0"/>
    <w:pPr>
      <w:widowControl w:val="0"/>
      <w:adjustRightInd w:val="0"/>
      <w:spacing w:after="120" w:line="440" w:lineRule="exact"/>
      <w:ind w:firstLine="482"/>
      <w:jc w:val="both"/>
      <w:textAlignment w:val="baseline"/>
    </w:pPr>
    <w:rPr>
      <w:rFonts w:ascii="Times New Roman" w:hAnsi="Times New Roman" w:eastAsia="宋体" w:cs="Times New Roman"/>
      <w:sz w:val="24"/>
      <w:lang w:val="en-US" w:eastAsia="zh-CN" w:bidi="ar-SA"/>
    </w:rPr>
  </w:style>
  <w:style w:type="character" w:customStyle="1" w:styleId="388">
    <w:name w:val="font61"/>
    <w:basedOn w:val="51"/>
    <w:autoRedefine/>
    <w:qFormat/>
    <w:uiPriority w:val="0"/>
    <w:rPr>
      <w:rFonts w:hint="eastAsia" w:ascii="宋体" w:hAnsi="宋体" w:eastAsia="宋体" w:cs="宋体"/>
      <w:b/>
      <w:bCs/>
      <w:color w:val="000000"/>
      <w:sz w:val="20"/>
      <w:szCs w:val="20"/>
      <w:u w:val="none"/>
    </w:rPr>
  </w:style>
  <w:style w:type="character" w:customStyle="1" w:styleId="389">
    <w:name w:val="font81"/>
    <w:basedOn w:val="51"/>
    <w:autoRedefine/>
    <w:qFormat/>
    <w:uiPriority w:val="0"/>
    <w:rPr>
      <w:rFonts w:hint="eastAsia" w:ascii="宋体" w:hAnsi="宋体" w:eastAsia="宋体" w:cs="宋体"/>
      <w:color w:val="000000"/>
      <w:sz w:val="20"/>
      <w:szCs w:val="20"/>
      <w:u w:val="none"/>
    </w:rPr>
  </w:style>
  <w:style w:type="character" w:customStyle="1" w:styleId="390">
    <w:name w:val="font91"/>
    <w:basedOn w:val="51"/>
    <w:autoRedefine/>
    <w:qFormat/>
    <w:uiPriority w:val="0"/>
    <w:rPr>
      <w:rFonts w:hint="default" w:ascii="Times New Roman" w:hAnsi="Times New Roman" w:cs="Times New Roman"/>
      <w:color w:val="000000"/>
      <w:sz w:val="20"/>
      <w:szCs w:val="20"/>
      <w:u w:val="none"/>
    </w:rPr>
  </w:style>
  <w:style w:type="character" w:customStyle="1" w:styleId="391">
    <w:name w:val="font51"/>
    <w:basedOn w:val="51"/>
    <w:autoRedefine/>
    <w:qFormat/>
    <w:uiPriority w:val="0"/>
    <w:rPr>
      <w:rFonts w:hint="eastAsia" w:ascii="宋体" w:hAnsi="宋体" w:eastAsia="宋体" w:cs="宋体"/>
      <w:color w:val="000000"/>
      <w:sz w:val="20"/>
      <w:szCs w:val="20"/>
      <w:u w:val="none"/>
    </w:rPr>
  </w:style>
  <w:style w:type="character" w:customStyle="1" w:styleId="392">
    <w:name w:val="font11"/>
    <w:basedOn w:val="51"/>
    <w:qFormat/>
    <w:uiPriority w:val="0"/>
    <w:rPr>
      <w:rFonts w:hint="default" w:ascii="Times New Roman" w:hAnsi="Times New Roman" w:cs="Times New Roman"/>
      <w:color w:val="000000"/>
      <w:sz w:val="21"/>
      <w:szCs w:val="21"/>
      <w:u w:val="none"/>
    </w:rPr>
  </w:style>
  <w:style w:type="paragraph" w:customStyle="1" w:styleId="393">
    <w:name w:val="修订5"/>
    <w:hidden/>
    <w:unhideWhenUsed/>
    <w:qFormat/>
    <w:uiPriority w:val="99"/>
    <w:rPr>
      <w:rFonts w:ascii="Times New Roman" w:hAnsi="Times New Roman" w:eastAsia="宋体" w:cs="Times New Roman"/>
      <w:kern w:val="2"/>
      <w:sz w:val="21"/>
      <w:szCs w:val="24"/>
      <w:lang w:val="en-US" w:eastAsia="zh-CN" w:bidi="ar-SA"/>
    </w:rPr>
  </w:style>
  <w:style w:type="paragraph" w:customStyle="1" w:styleId="394">
    <w:name w:val="Normal Indent1"/>
    <w:basedOn w:val="1"/>
    <w:qFormat/>
    <w:uiPriority w:val="0"/>
    <w:pPr>
      <w:adjustRightInd w:val="0"/>
      <w:ind w:firstLine="420"/>
      <w:jc w:val="left"/>
      <w:textAlignment w:val="baseline"/>
    </w:pPr>
    <w:rPr>
      <w:rFonts w:eastAsia="楷体_GB2312"/>
      <w:sz w:val="24"/>
    </w:rPr>
  </w:style>
  <w:style w:type="character" w:customStyle="1" w:styleId="395">
    <w:name w:val="未处理的提及3"/>
    <w:basedOn w:val="51"/>
    <w:semiHidden/>
    <w:unhideWhenUsed/>
    <w:qFormat/>
    <w:uiPriority w:val="99"/>
    <w:rPr>
      <w:color w:val="605E5C"/>
      <w:shd w:val="clear" w:color="auto" w:fill="E1DFDD"/>
    </w:rPr>
  </w:style>
  <w:style w:type="paragraph" w:customStyle="1" w:styleId="396">
    <w:name w:val="标书正文"/>
    <w:basedOn w:val="1"/>
    <w:autoRedefine/>
    <w:qFormat/>
    <w:uiPriority w:val="0"/>
    <w:pPr>
      <w:adjustRightInd w:val="0"/>
      <w:snapToGrid w:val="0"/>
      <w:spacing w:line="360" w:lineRule="auto"/>
    </w:pPr>
    <w:rPr>
      <w:rFonts w:ascii="宋体" w:hAnsi="宋体"/>
      <w:sz w:val="24"/>
    </w:rPr>
  </w:style>
  <w:style w:type="table" w:customStyle="1" w:styleId="397">
    <w:name w:val="网格型1"/>
    <w:basedOn w:val="49"/>
    <w:autoRedefine/>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98">
    <w:name w:val="网格型2"/>
    <w:basedOn w:val="49"/>
    <w:autoRedefine/>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99">
    <w:name w:val="NormalCharacter"/>
    <w:autoRedefine/>
    <w:qFormat/>
    <w:uiPriority w:val="0"/>
    <w:rPr>
      <w:rFonts w:hint="default" w:ascii="Times New Roman" w:hAnsi="Times New Roman" w:eastAsia="宋体" w:cs="Times New Roman"/>
    </w:rPr>
  </w:style>
  <w:style w:type="table" w:customStyle="1" w:styleId="400">
    <w:name w:val="网格型3"/>
    <w:basedOn w:val="49"/>
    <w:autoRedefine/>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01">
    <w:name w:val="网格型4"/>
    <w:basedOn w:val="49"/>
    <w:autoRedefine/>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02">
    <w:name w:val="网格型5"/>
    <w:basedOn w:val="49"/>
    <w:autoRedefine/>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03">
    <w:name w:val="网格型6"/>
    <w:basedOn w:val="49"/>
    <w:autoRedefine/>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04">
    <w:name w:val="首行缩进"/>
    <w:autoRedefine/>
    <w:qFormat/>
    <w:uiPriority w:val="0"/>
    <w:pPr>
      <w:widowControl w:val="0"/>
      <w:spacing w:line="360" w:lineRule="auto"/>
      <w:ind w:firstLine="420" w:firstLineChars="200"/>
      <w:jc w:val="both"/>
    </w:pPr>
    <w:rPr>
      <w:rFonts w:ascii="Times New Roman" w:hAnsi="Times New Roman" w:eastAsia="宋体" w:cs="Times New Roman"/>
      <w:lang w:val="en-US" w:eastAsia="zh-CN" w:bidi="ar-SA"/>
    </w:rPr>
  </w:style>
  <w:style w:type="paragraph" w:customStyle="1" w:styleId="405">
    <w:name w:val="投标正文"/>
    <w:basedOn w:val="1"/>
    <w:autoRedefine/>
    <w:qFormat/>
    <w:uiPriority w:val="0"/>
    <w:pPr>
      <w:adjustRightInd w:val="0"/>
      <w:snapToGrid w:val="0"/>
      <w:spacing w:line="360" w:lineRule="auto"/>
    </w:pPr>
  </w:style>
  <w:style w:type="paragraph" w:customStyle="1" w:styleId="406">
    <w:name w:val="投标文件标题"/>
    <w:autoRedefine/>
    <w:qFormat/>
    <w:uiPriority w:val="0"/>
    <w:pPr>
      <w:widowControl w:val="0"/>
      <w:spacing w:line="380" w:lineRule="exact"/>
      <w:jc w:val="center"/>
      <w:outlineLvl w:val="1"/>
    </w:pPr>
    <w:rPr>
      <w:rFonts w:ascii="Times New Roman" w:hAnsi="Times New Roman" w:eastAsia="宋体" w:cs="Times New Roman"/>
      <w:b/>
      <w:kern w:val="44"/>
      <w:sz w:val="28"/>
      <w:szCs w:val="32"/>
      <w:lang w:val="en-US" w:eastAsia="zh-CN" w:bidi="ar-SA"/>
    </w:rPr>
  </w:style>
  <w:style w:type="paragraph" w:customStyle="1" w:styleId="407">
    <w:name w:val="正文2"/>
    <w:autoRedefine/>
    <w:qFormat/>
    <w:uiPriority w:val="0"/>
    <w:pPr>
      <w:jc w:val="both"/>
    </w:pPr>
    <w:rPr>
      <w:rFonts w:ascii="Times New Roman" w:hAnsi="Times New Roman" w:eastAsia="宋体" w:cs="Times New Roman"/>
      <w:kern w:val="2"/>
      <w:sz w:val="21"/>
      <w:szCs w:val="21"/>
      <w:lang w:val="en-US" w:eastAsia="zh-CN" w:bidi="ar-SA"/>
    </w:rPr>
  </w:style>
  <w:style w:type="paragraph" w:customStyle="1" w:styleId="408">
    <w:name w:val="Revision"/>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1.png"/><Relationship Id="rId23" Type="http://schemas.openxmlformats.org/officeDocument/2006/relationships/theme" Target="theme/theme1.xml"/><Relationship Id="rId22" Type="http://schemas.openxmlformats.org/officeDocument/2006/relationships/footer" Target="footer10.xml"/><Relationship Id="rId21" Type="http://schemas.openxmlformats.org/officeDocument/2006/relationships/header" Target="header8.xml"/><Relationship Id="rId20" Type="http://schemas.openxmlformats.org/officeDocument/2006/relationships/footer" Target="footer9.xml"/><Relationship Id="rId2" Type="http://schemas.openxmlformats.org/officeDocument/2006/relationships/settings" Target="settings.xml"/><Relationship Id="rId19" Type="http://schemas.openxmlformats.org/officeDocument/2006/relationships/header" Target="header7.xml"/><Relationship Id="rId18" Type="http://schemas.openxmlformats.org/officeDocument/2006/relationships/footer" Target="footer8.xml"/><Relationship Id="rId17" Type="http://schemas.openxmlformats.org/officeDocument/2006/relationships/footer" Target="footer7.xml"/><Relationship Id="rId16" Type="http://schemas.openxmlformats.org/officeDocument/2006/relationships/header" Target="header6.xml"/><Relationship Id="rId15" Type="http://schemas.openxmlformats.org/officeDocument/2006/relationships/header" Target="header5.xml"/><Relationship Id="rId14" Type="http://schemas.openxmlformats.org/officeDocument/2006/relationships/footer" Target="footer6.xml"/><Relationship Id="rId13" Type="http://schemas.openxmlformats.org/officeDocument/2006/relationships/header" Target="header4.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Info spid="_x0000_s1037" textRotate="1"/>
    <customShpInfo spid="_x0000_s1035"/>
    <customShpInfo spid="_x0000_s103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Sinopec</Company>
  <Pages>57</Pages>
  <Words>4945</Words>
  <Characters>5451</Characters>
  <Lines>1490</Lines>
  <Paragraphs>1324</Paragraphs>
  <TotalTime>0</TotalTime>
  <ScaleCrop>false</ScaleCrop>
  <LinksUpToDate>false</LinksUpToDate>
  <CharactersWithSpaces>5588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2025-11-11T07:45:00Z</dcterms:created>
  <dc:creator>刘艳辉</dc:creator>
  <cp:lastModifiedBy>彗心</cp:lastModifiedBy>
  <cp:lastPrinted>2025-10-23T07:22:00Z</cp:lastPrinted>
  <dcterms:modified xsi:type="dcterms:W3CDTF">2026-03-18T07:31:29Z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E69D4172B8484DAAB6299441ABF11F11_13</vt:lpwstr>
  </property>
  <property fmtid="{D5CDD505-2E9C-101B-9397-08002B2CF9AE}" pid="4" name="KSOTemplateDocerSaveRecord">
    <vt:lpwstr>eyJoZGlkIjoiZTliZjMxYTdiNmUzZjE5MTNkZTc5MjcxOGY2NjI0ZGUiLCJ1c2VySWQiOiI0NTk2OTQ0ODUifQ==</vt:lpwstr>
  </property>
</Properties>
</file>