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397412">
      <w:pPr>
        <w:jc w:val="center"/>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关于2026年度徐圩新区食品安全监督抽检检验专业技术服务</w:t>
      </w:r>
      <w:bookmarkStart w:id="0" w:name="_Toc520410571"/>
      <w:r>
        <w:rPr>
          <w:rFonts w:hint="eastAsia" w:ascii="宋体" w:hAnsi="宋体" w:eastAsia="宋体" w:cs="宋体"/>
          <w:b/>
          <w:bCs/>
          <w:sz w:val="24"/>
          <w:szCs w:val="24"/>
          <w:lang w:eastAsia="zh-CN"/>
        </w:rPr>
        <w:t>的澄清</w:t>
      </w:r>
      <w:bookmarkEnd w:id="0"/>
    </w:p>
    <w:p w14:paraId="4AA6EDAE">
      <w:pPr>
        <w:jc w:val="center"/>
        <w:rPr>
          <w:rFonts w:hint="eastAsia" w:ascii="宋体" w:hAnsi="宋体" w:eastAsia="宋体" w:cs="宋体"/>
          <w:sz w:val="24"/>
          <w:szCs w:val="24"/>
          <w:lang w:eastAsia="zh-CN"/>
        </w:rPr>
      </w:pPr>
    </w:p>
    <w:p w14:paraId="3FF57829">
      <w:pPr>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各供应商：</w:t>
      </w:r>
    </w:p>
    <w:p w14:paraId="1C09ED6C">
      <w:pPr>
        <w:jc w:val="center"/>
        <w:rPr>
          <w:rFonts w:hint="eastAsia" w:ascii="宋体" w:hAnsi="宋体" w:eastAsia="宋体" w:cs="宋体"/>
          <w:sz w:val="24"/>
          <w:szCs w:val="24"/>
          <w:lang w:eastAsia="zh-CN"/>
        </w:rPr>
      </w:pPr>
    </w:p>
    <w:p w14:paraId="315065E1">
      <w:pPr>
        <w:pStyle w:val="2"/>
        <w:keepNext w:val="0"/>
        <w:keepLines w:val="0"/>
        <w:pageBreakBefore w:val="0"/>
        <w:widowControl w:val="0"/>
        <w:numPr>
          <w:ilvl w:val="0"/>
          <w:numId w:val="0"/>
        </w:numPr>
        <w:kinsoku/>
        <w:wordWrap/>
        <w:overflowPunct/>
        <w:topLinePunct w:val="0"/>
        <w:bidi w:val="0"/>
        <w:snapToGrid/>
        <w:spacing w:line="360" w:lineRule="auto"/>
        <w:ind w:left="0" w:leftChars="0" w:firstLine="480" w:firstLineChars="200"/>
        <w:textAlignment w:val="auto"/>
        <w:rPr>
          <w:rFonts w:hint="default" w:ascii="宋体" w:hAnsi="宋体" w:eastAsia="宋体" w:cs="宋体"/>
          <w:b/>
          <w:bCs/>
          <w:sz w:val="24"/>
          <w:szCs w:val="24"/>
          <w:lang w:val="en-US" w:eastAsia="zh-CN"/>
        </w:rPr>
      </w:pPr>
      <w:r>
        <w:rPr>
          <w:rFonts w:hint="eastAsia" w:ascii="宋体" w:hAnsi="宋体" w:cs="宋体"/>
          <w:sz w:val="24"/>
          <w:szCs w:val="24"/>
          <w:lang w:val="en-US" w:eastAsia="zh-CN"/>
        </w:rPr>
        <w:t>磋商文件原评分标准：人员配备</w:t>
      </w:r>
      <w:r>
        <w:rPr>
          <w:rFonts w:hint="eastAsia" w:ascii="宋体" w:hAnsi="宋体" w:eastAsia="宋体" w:cs="宋体"/>
          <w:color w:val="000000"/>
          <w:szCs w:val="21"/>
        </w:rPr>
        <w:t>（2）供</w:t>
      </w:r>
      <w:r>
        <w:rPr>
          <w:rFonts w:hint="eastAsia" w:ascii="宋体" w:hAnsi="宋体" w:eastAsia="宋体" w:cs="宋体"/>
          <w:b w:val="0"/>
          <w:bCs w:val="0"/>
          <w:color w:val="000000"/>
          <w:szCs w:val="21"/>
        </w:rPr>
        <w:t>应商针对本项目服务团队人员中具有区市级及以上市场监管部门认定的食品安全抽检监测专家，</w:t>
      </w:r>
      <w:r>
        <w:rPr>
          <w:rFonts w:hint="eastAsia" w:ascii="宋体" w:hAnsi="宋体" w:eastAsia="宋体" w:cs="宋体"/>
          <w:b w:val="0"/>
          <w:bCs w:val="0"/>
          <w:kern w:val="0"/>
          <w:szCs w:val="21"/>
        </w:rPr>
        <w:t>每1人</w:t>
      </w:r>
      <w:r>
        <w:rPr>
          <w:rFonts w:hint="eastAsia" w:ascii="宋体" w:hAnsi="宋体" w:eastAsia="宋体" w:cs="宋体"/>
          <w:b w:val="0"/>
          <w:bCs w:val="0"/>
          <w:kern w:val="0"/>
          <w:szCs w:val="21"/>
          <w:lang w:val="en-US" w:eastAsia="zh-CN"/>
        </w:rPr>
        <w:t>2025年01月01日至今任意一个月</w:t>
      </w:r>
      <w:r>
        <w:rPr>
          <w:rFonts w:hint="eastAsia" w:ascii="宋体" w:hAnsi="宋体" w:eastAsia="宋体" w:cs="宋体"/>
          <w:b w:val="0"/>
          <w:bCs w:val="0"/>
          <w:color w:val="000000"/>
          <w:szCs w:val="21"/>
          <w:lang w:eastAsia="zh-CN"/>
        </w:rPr>
        <w:t>供应商</w:t>
      </w:r>
      <w:r>
        <w:rPr>
          <w:rFonts w:hint="eastAsia" w:ascii="宋体" w:hAnsi="宋体" w:eastAsia="宋体" w:cs="宋体"/>
          <w:b w:val="0"/>
          <w:bCs w:val="0"/>
          <w:color w:val="000000"/>
          <w:szCs w:val="21"/>
        </w:rPr>
        <w:t>为</w:t>
      </w:r>
      <w:r>
        <w:rPr>
          <w:rFonts w:hint="eastAsia" w:ascii="宋体" w:hAnsi="宋体" w:eastAsia="宋体" w:cs="宋体"/>
          <w:b w:val="0"/>
          <w:bCs w:val="0"/>
          <w:kern w:val="0"/>
          <w:szCs w:val="21"/>
          <w:lang w:val="en-US" w:eastAsia="zh-CN"/>
        </w:rPr>
        <w:t>其</w:t>
      </w:r>
      <w:r>
        <w:rPr>
          <w:rFonts w:hint="eastAsia" w:ascii="宋体" w:hAnsi="宋体" w:eastAsia="宋体" w:cs="宋体"/>
          <w:b w:val="0"/>
          <w:bCs w:val="0"/>
          <w:kern w:val="0"/>
          <w:szCs w:val="21"/>
        </w:rPr>
        <w:t>社保缴纳凭证</w:t>
      </w:r>
      <w:r>
        <w:rPr>
          <w:rFonts w:hint="eastAsia" w:ascii="宋体" w:hAnsi="宋体" w:eastAsia="宋体" w:cs="宋体"/>
          <w:b w:val="0"/>
          <w:bCs w:val="0"/>
          <w:color w:val="000000"/>
          <w:szCs w:val="21"/>
          <w:lang w:val="en-US" w:eastAsia="zh-CN"/>
        </w:rPr>
        <w:t>的</w:t>
      </w:r>
      <w:r>
        <w:rPr>
          <w:rFonts w:hint="eastAsia" w:ascii="宋体" w:hAnsi="宋体" w:eastAsia="宋体" w:cs="宋体"/>
          <w:b w:val="0"/>
          <w:bCs w:val="0"/>
          <w:color w:val="000000"/>
          <w:szCs w:val="21"/>
        </w:rPr>
        <w:t>证明材料）</w:t>
      </w:r>
      <w:r>
        <w:rPr>
          <w:rFonts w:hint="eastAsia" w:ascii="宋体" w:hAnsi="宋体" w:cs="宋体"/>
          <w:color w:val="000000"/>
          <w:szCs w:val="21"/>
          <w:lang w:val="en-US" w:eastAsia="zh-CN"/>
        </w:rPr>
        <w:t>调整为</w:t>
      </w:r>
      <w:r>
        <w:rPr>
          <w:rFonts w:hint="eastAsia" w:ascii="宋体" w:hAnsi="宋体" w:cs="宋体"/>
          <w:b/>
          <w:bCs/>
          <w:color w:val="000000"/>
          <w:szCs w:val="21"/>
          <w:lang w:val="en-US" w:eastAsia="zh-CN"/>
        </w:rPr>
        <w:t>“</w:t>
      </w:r>
      <w:r>
        <w:rPr>
          <w:rFonts w:hint="eastAsia" w:ascii="宋体" w:hAnsi="宋体" w:eastAsia="宋体" w:cs="宋体"/>
          <w:b/>
          <w:bCs/>
          <w:color w:val="000000"/>
          <w:szCs w:val="21"/>
        </w:rPr>
        <w:t>（2）供应商针对本项目服务团队人员中具有区市级及以上市场监管部门认定的食品安全抽检监测专家，每1人得</w:t>
      </w:r>
      <w:r>
        <w:rPr>
          <w:rFonts w:hint="eastAsia" w:ascii="宋体" w:hAnsi="宋体" w:eastAsia="宋体" w:cs="宋体"/>
          <w:b/>
          <w:bCs/>
          <w:color w:val="000000"/>
          <w:szCs w:val="21"/>
          <w:lang w:val="en-US" w:eastAsia="zh-CN"/>
        </w:rPr>
        <w:t>1</w:t>
      </w:r>
      <w:r>
        <w:rPr>
          <w:rFonts w:hint="eastAsia" w:ascii="宋体" w:hAnsi="宋体" w:eastAsia="宋体" w:cs="宋体"/>
          <w:b/>
          <w:bCs/>
          <w:color w:val="000000"/>
          <w:szCs w:val="21"/>
        </w:rPr>
        <w:t>分</w:t>
      </w:r>
      <w:r>
        <w:rPr>
          <w:rFonts w:hint="eastAsia" w:ascii="宋体" w:hAnsi="宋体" w:eastAsia="宋体" w:cs="宋体"/>
          <w:b/>
          <w:bCs/>
          <w:color w:val="000000"/>
          <w:szCs w:val="21"/>
          <w:lang w:eastAsia="zh-CN"/>
        </w:rPr>
        <w:t>，</w:t>
      </w:r>
      <w:r>
        <w:rPr>
          <w:rFonts w:hint="eastAsia" w:ascii="宋体" w:hAnsi="宋体" w:eastAsia="宋体" w:cs="宋体"/>
          <w:b/>
          <w:bCs/>
          <w:color w:val="000000"/>
          <w:szCs w:val="21"/>
        </w:rPr>
        <w:t>最高得</w:t>
      </w:r>
      <w:r>
        <w:rPr>
          <w:rFonts w:hint="eastAsia" w:ascii="宋体" w:hAnsi="宋体" w:eastAsia="宋体" w:cs="宋体"/>
          <w:b/>
          <w:bCs/>
          <w:color w:val="000000"/>
          <w:szCs w:val="21"/>
          <w:lang w:val="en-US" w:eastAsia="zh-CN"/>
        </w:rPr>
        <w:t>4</w:t>
      </w:r>
      <w:r>
        <w:rPr>
          <w:rFonts w:hint="eastAsia" w:ascii="宋体" w:hAnsi="宋体" w:eastAsia="宋体" w:cs="宋体"/>
          <w:b/>
          <w:bCs/>
          <w:color w:val="000000"/>
          <w:szCs w:val="21"/>
        </w:rPr>
        <w:t>分</w:t>
      </w:r>
      <w:r>
        <w:rPr>
          <w:rFonts w:hint="eastAsia" w:ascii="宋体" w:hAnsi="宋体" w:eastAsia="宋体" w:cs="宋体"/>
          <w:b/>
          <w:bCs/>
          <w:kern w:val="0"/>
          <w:szCs w:val="21"/>
          <w:lang w:val="en-US" w:eastAsia="zh-CN"/>
        </w:rPr>
        <w:t>；2025年01月01日至今任意一个月</w:t>
      </w:r>
      <w:r>
        <w:rPr>
          <w:rFonts w:hint="eastAsia" w:ascii="宋体" w:hAnsi="宋体" w:eastAsia="宋体" w:cs="宋体"/>
          <w:b/>
          <w:bCs/>
          <w:color w:val="000000"/>
          <w:szCs w:val="21"/>
          <w:lang w:eastAsia="zh-CN"/>
        </w:rPr>
        <w:t>供应商</w:t>
      </w:r>
      <w:r>
        <w:rPr>
          <w:rFonts w:hint="eastAsia" w:ascii="宋体" w:hAnsi="宋体" w:eastAsia="宋体" w:cs="宋体"/>
          <w:b/>
          <w:bCs/>
          <w:color w:val="000000"/>
          <w:szCs w:val="21"/>
        </w:rPr>
        <w:t>为</w:t>
      </w:r>
      <w:r>
        <w:rPr>
          <w:rFonts w:hint="eastAsia" w:ascii="宋体" w:hAnsi="宋体" w:eastAsia="宋体" w:cs="宋体"/>
          <w:b/>
          <w:bCs/>
          <w:kern w:val="0"/>
          <w:szCs w:val="21"/>
          <w:lang w:val="en-US" w:eastAsia="zh-CN"/>
        </w:rPr>
        <w:t>其</w:t>
      </w:r>
      <w:r>
        <w:rPr>
          <w:rFonts w:hint="eastAsia" w:ascii="宋体" w:hAnsi="宋体" w:eastAsia="宋体" w:cs="宋体"/>
          <w:b/>
          <w:bCs/>
          <w:kern w:val="0"/>
          <w:szCs w:val="21"/>
        </w:rPr>
        <w:t>社保缴纳凭证</w:t>
      </w:r>
      <w:r>
        <w:rPr>
          <w:rFonts w:hint="eastAsia" w:ascii="宋体" w:hAnsi="宋体" w:eastAsia="宋体" w:cs="宋体"/>
          <w:b/>
          <w:bCs/>
          <w:color w:val="000000"/>
          <w:szCs w:val="21"/>
          <w:lang w:val="en-US" w:eastAsia="zh-CN"/>
        </w:rPr>
        <w:t>的</w:t>
      </w:r>
      <w:r>
        <w:rPr>
          <w:rFonts w:hint="eastAsia" w:ascii="宋体" w:hAnsi="宋体" w:eastAsia="宋体" w:cs="宋体"/>
          <w:b/>
          <w:bCs/>
          <w:color w:val="000000"/>
          <w:szCs w:val="21"/>
        </w:rPr>
        <w:t>证明材料）</w:t>
      </w:r>
      <w:r>
        <w:rPr>
          <w:rFonts w:hint="eastAsia" w:ascii="宋体" w:hAnsi="宋体" w:cs="宋体"/>
          <w:b/>
          <w:bCs/>
          <w:color w:val="000000"/>
          <w:szCs w:val="21"/>
          <w:lang w:eastAsia="zh-CN"/>
        </w:rPr>
        <w:t>”</w:t>
      </w:r>
      <w:r>
        <w:rPr>
          <w:rFonts w:hint="eastAsia" w:ascii="宋体" w:hAnsi="宋体" w:cs="宋体"/>
          <w:b/>
          <w:bCs/>
          <w:color w:val="000000"/>
          <w:szCs w:val="21"/>
          <w:lang w:val="en-US" w:eastAsia="zh-CN"/>
        </w:rPr>
        <w:t>；其他内容不变，具体内容见下表。</w:t>
      </w:r>
      <w:bookmarkStart w:id="1" w:name="_GoBack"/>
      <w:bookmarkEnd w:id="1"/>
    </w:p>
    <w:tbl>
      <w:tblPr>
        <w:tblStyle w:val="4"/>
        <w:tblW w:w="8825" w:type="dxa"/>
        <w:tblInd w:w="-8"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778"/>
        <w:gridCol w:w="1980"/>
        <w:gridCol w:w="1361"/>
        <w:gridCol w:w="4038"/>
        <w:gridCol w:w="668"/>
      </w:tblGrid>
      <w:tr w14:paraId="3EA62286">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 w:hRule="atLeast"/>
        </w:trPr>
        <w:tc>
          <w:tcPr>
            <w:tcW w:w="2758" w:type="dxa"/>
            <w:gridSpan w:val="2"/>
            <w:tcBorders>
              <w:top w:val="outset" w:color="auto" w:sz="6" w:space="0"/>
              <w:left w:val="outset" w:color="auto" w:sz="6" w:space="0"/>
              <w:bottom w:val="outset" w:color="auto" w:sz="6" w:space="0"/>
              <w:right w:val="outset" w:color="auto" w:sz="6" w:space="0"/>
            </w:tcBorders>
            <w:noWrap w:val="0"/>
            <w:vAlign w:val="center"/>
          </w:tcPr>
          <w:p w14:paraId="70BFBD55">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rPr>
              <w:t>评分标准</w:t>
            </w:r>
          </w:p>
        </w:tc>
        <w:tc>
          <w:tcPr>
            <w:tcW w:w="1361" w:type="dxa"/>
            <w:tcBorders>
              <w:top w:val="outset" w:color="auto" w:sz="6" w:space="0"/>
              <w:left w:val="outset" w:color="auto" w:sz="6" w:space="0"/>
              <w:bottom w:val="outset" w:color="auto" w:sz="6" w:space="0"/>
              <w:right w:val="outset" w:color="auto" w:sz="6" w:space="0"/>
            </w:tcBorders>
            <w:noWrap w:val="0"/>
            <w:vAlign w:val="center"/>
          </w:tcPr>
          <w:p w14:paraId="0B3E71DC">
            <w:pPr>
              <w:pageBreakBefore w:val="0"/>
              <w:kinsoku/>
              <w:wordWrap/>
              <w:overflowPunct/>
              <w:topLinePunct w:val="0"/>
              <w:bidi w:val="0"/>
              <w:snapToGrid/>
              <w:spacing w:line="360" w:lineRule="auto"/>
              <w:jc w:val="center"/>
              <w:textAlignment w:val="auto"/>
              <w:rPr>
                <w:rFonts w:hint="eastAsia" w:ascii="宋体" w:hAnsi="宋体" w:eastAsia="宋体" w:cs="宋体"/>
                <w:bCs/>
                <w:szCs w:val="21"/>
              </w:rPr>
            </w:pPr>
            <w:r>
              <w:rPr>
                <w:rFonts w:hint="eastAsia" w:ascii="宋体" w:hAnsi="宋体" w:eastAsia="宋体" w:cs="宋体"/>
                <w:szCs w:val="21"/>
              </w:rPr>
              <w:t>评分因素</w:t>
            </w:r>
          </w:p>
        </w:tc>
        <w:tc>
          <w:tcPr>
            <w:tcW w:w="4038" w:type="dxa"/>
            <w:tcBorders>
              <w:top w:val="outset" w:color="auto" w:sz="6" w:space="0"/>
              <w:left w:val="outset" w:color="auto" w:sz="6" w:space="0"/>
              <w:bottom w:val="outset" w:color="auto" w:sz="6" w:space="0"/>
              <w:right w:val="outset" w:color="auto" w:sz="6" w:space="0"/>
            </w:tcBorders>
            <w:noWrap w:val="0"/>
            <w:vAlign w:val="center"/>
          </w:tcPr>
          <w:p w14:paraId="30DE8C2A">
            <w:pPr>
              <w:pageBreakBefore w:val="0"/>
              <w:kinsoku/>
              <w:wordWrap/>
              <w:overflowPunct/>
              <w:topLinePunct w:val="0"/>
              <w:bidi w:val="0"/>
              <w:snapToGrid/>
              <w:spacing w:line="360" w:lineRule="auto"/>
              <w:jc w:val="center"/>
              <w:textAlignment w:val="auto"/>
              <w:rPr>
                <w:rFonts w:hint="eastAsia" w:ascii="宋体" w:hAnsi="宋体" w:eastAsia="宋体" w:cs="宋体"/>
                <w:bCs/>
                <w:szCs w:val="21"/>
              </w:rPr>
            </w:pPr>
            <w:r>
              <w:rPr>
                <w:rFonts w:hint="eastAsia" w:ascii="宋体" w:hAnsi="宋体" w:eastAsia="宋体" w:cs="宋体"/>
                <w:szCs w:val="21"/>
              </w:rPr>
              <w:t>评分点</w:t>
            </w:r>
          </w:p>
        </w:tc>
        <w:tc>
          <w:tcPr>
            <w:tcW w:w="668" w:type="dxa"/>
            <w:tcBorders>
              <w:top w:val="outset" w:color="auto" w:sz="6" w:space="0"/>
              <w:left w:val="outset" w:color="auto" w:sz="6" w:space="0"/>
              <w:bottom w:val="outset" w:color="auto" w:sz="6" w:space="0"/>
              <w:right w:val="outset" w:color="auto" w:sz="6" w:space="0"/>
            </w:tcBorders>
            <w:noWrap w:val="0"/>
            <w:vAlign w:val="center"/>
          </w:tcPr>
          <w:p w14:paraId="36BC3211">
            <w:pPr>
              <w:pageBreakBefore w:val="0"/>
              <w:kinsoku/>
              <w:wordWrap/>
              <w:overflowPunct/>
              <w:topLinePunct w:val="0"/>
              <w:bidi w:val="0"/>
              <w:snapToGrid/>
              <w:spacing w:line="360" w:lineRule="auto"/>
              <w:jc w:val="center"/>
              <w:textAlignment w:val="auto"/>
              <w:rPr>
                <w:rFonts w:hint="eastAsia" w:ascii="宋体" w:hAnsi="宋体" w:eastAsia="宋体" w:cs="宋体"/>
                <w:bCs/>
                <w:szCs w:val="21"/>
              </w:rPr>
            </w:pPr>
            <w:r>
              <w:rPr>
                <w:rFonts w:hint="eastAsia" w:ascii="宋体" w:hAnsi="宋体" w:eastAsia="宋体" w:cs="宋体"/>
                <w:szCs w:val="21"/>
              </w:rPr>
              <w:t>总分值</w:t>
            </w:r>
          </w:p>
        </w:tc>
      </w:tr>
      <w:tr w14:paraId="687B90E6">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264" w:hRule="atLeast"/>
        </w:trPr>
        <w:tc>
          <w:tcPr>
            <w:tcW w:w="778" w:type="dxa"/>
            <w:vMerge w:val="restart"/>
            <w:tcBorders>
              <w:top w:val="outset" w:color="auto" w:sz="6" w:space="0"/>
              <w:left w:val="outset" w:color="auto" w:sz="6" w:space="0"/>
              <w:right w:val="outset" w:color="auto" w:sz="6" w:space="0"/>
            </w:tcBorders>
            <w:noWrap w:val="0"/>
            <w:vAlign w:val="center"/>
          </w:tcPr>
          <w:p w14:paraId="2F02E70F">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rPr>
              <w:t>2.3.3</w:t>
            </w:r>
          </w:p>
        </w:tc>
        <w:tc>
          <w:tcPr>
            <w:tcW w:w="1980" w:type="dxa"/>
            <w:tcBorders>
              <w:top w:val="outset" w:color="auto" w:sz="6" w:space="0"/>
              <w:left w:val="outset" w:color="auto" w:sz="6" w:space="0"/>
              <w:bottom w:val="outset" w:color="auto" w:sz="6" w:space="0"/>
              <w:right w:val="outset" w:color="auto" w:sz="6" w:space="0"/>
            </w:tcBorders>
            <w:noWrap w:val="0"/>
            <w:vAlign w:val="center"/>
          </w:tcPr>
          <w:p w14:paraId="647E4DC8">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rPr>
              <w:t>磋商报价得分计算</w:t>
            </w:r>
          </w:p>
          <w:p w14:paraId="7FB1A53F">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szCs w:val="21"/>
                <w:u w:val="single"/>
              </w:rPr>
              <w:t>1</w:t>
            </w:r>
            <w:r>
              <w:rPr>
                <w:rFonts w:hint="eastAsia" w:ascii="宋体" w:hAnsi="宋体" w:eastAsia="宋体" w:cs="宋体"/>
                <w:szCs w:val="21"/>
                <w:u w:val="single"/>
                <w:lang w:val="en-US" w:eastAsia="zh-CN"/>
              </w:rPr>
              <w:t>0</w:t>
            </w:r>
            <w:r>
              <w:rPr>
                <w:rFonts w:hint="eastAsia" w:ascii="宋体" w:hAnsi="宋体" w:eastAsia="宋体" w:cs="宋体"/>
                <w:szCs w:val="21"/>
              </w:rPr>
              <w:t>分)</w:t>
            </w:r>
          </w:p>
        </w:tc>
        <w:tc>
          <w:tcPr>
            <w:tcW w:w="6067" w:type="dxa"/>
            <w:gridSpan w:val="3"/>
            <w:tcBorders>
              <w:top w:val="outset" w:color="auto" w:sz="6" w:space="0"/>
              <w:left w:val="outset" w:color="auto" w:sz="6" w:space="0"/>
              <w:bottom w:val="outset" w:color="auto" w:sz="6" w:space="0"/>
              <w:right w:val="outset" w:color="auto" w:sz="6" w:space="0"/>
            </w:tcBorders>
            <w:noWrap w:val="0"/>
            <w:vAlign w:val="center"/>
          </w:tcPr>
          <w:p w14:paraId="27564B86">
            <w:pPr>
              <w:pageBreakBefore w:val="0"/>
              <w:kinsoku/>
              <w:wordWrap/>
              <w:overflowPunct/>
              <w:topLinePunct w:val="0"/>
              <w:bidi w:val="0"/>
              <w:snapToGrid/>
              <w:spacing w:line="360" w:lineRule="auto"/>
              <w:jc w:val="left"/>
              <w:textAlignment w:val="auto"/>
              <w:rPr>
                <w:rFonts w:hint="eastAsia" w:ascii="宋体" w:hAnsi="宋体" w:eastAsia="宋体" w:cs="宋体"/>
                <w:bCs/>
                <w:szCs w:val="21"/>
              </w:rPr>
            </w:pPr>
            <w:r>
              <w:rPr>
                <w:rFonts w:hint="eastAsia" w:ascii="宋体" w:hAnsi="宋体" w:eastAsia="宋体" w:cs="宋体"/>
                <w:bCs/>
                <w:szCs w:val="21"/>
              </w:rPr>
              <w:t>价格分采用低价优先法计算，即满足磋商文件要求且响应价格最低的报价为评标基准价，其价格分为满分。其他供应商的价格分统一按照下列公式计算：</w:t>
            </w:r>
          </w:p>
          <w:p w14:paraId="5F681084">
            <w:pPr>
              <w:pageBreakBefore w:val="0"/>
              <w:kinsoku/>
              <w:wordWrap/>
              <w:overflowPunct/>
              <w:topLinePunct w:val="0"/>
              <w:bidi w:val="0"/>
              <w:snapToGrid/>
              <w:spacing w:line="360" w:lineRule="auto"/>
              <w:jc w:val="left"/>
              <w:textAlignment w:val="auto"/>
              <w:rPr>
                <w:rFonts w:hint="eastAsia" w:ascii="宋体" w:hAnsi="宋体" w:eastAsia="宋体" w:cs="宋体"/>
                <w:bCs/>
                <w:szCs w:val="21"/>
              </w:rPr>
            </w:pPr>
            <w:r>
              <w:rPr>
                <w:rFonts w:hint="eastAsia" w:ascii="宋体" w:hAnsi="宋体" w:eastAsia="宋体" w:cs="宋体"/>
                <w:bCs/>
                <w:szCs w:val="21"/>
              </w:rPr>
              <w:t>响应报价得分=（评标基准价/响应报价）*价格权值*100（本项目价格权值为1</w:t>
            </w:r>
            <w:r>
              <w:rPr>
                <w:rFonts w:hint="eastAsia" w:ascii="宋体" w:hAnsi="宋体" w:eastAsia="宋体" w:cs="宋体"/>
                <w:bCs/>
                <w:szCs w:val="21"/>
                <w:lang w:val="en-US" w:eastAsia="zh-CN"/>
              </w:rPr>
              <w:t>0</w:t>
            </w:r>
            <w:r>
              <w:rPr>
                <w:rFonts w:hint="eastAsia" w:ascii="宋体" w:hAnsi="宋体" w:eastAsia="宋体" w:cs="宋体"/>
                <w:bCs/>
                <w:szCs w:val="21"/>
              </w:rPr>
              <w:t>%）（计算结果四舍五入，保留小数点后两位）</w:t>
            </w:r>
          </w:p>
        </w:tc>
      </w:tr>
      <w:tr w14:paraId="3C4BBCB1">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11" w:hRule="atLeast"/>
        </w:trPr>
        <w:tc>
          <w:tcPr>
            <w:tcW w:w="778" w:type="dxa"/>
            <w:vMerge w:val="continue"/>
            <w:tcBorders>
              <w:left w:val="outset" w:color="auto" w:sz="6" w:space="0"/>
              <w:right w:val="outset" w:color="auto" w:sz="6" w:space="0"/>
            </w:tcBorders>
            <w:noWrap w:val="0"/>
            <w:vAlign w:val="center"/>
          </w:tcPr>
          <w:p w14:paraId="4374F12E">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p>
        </w:tc>
        <w:tc>
          <w:tcPr>
            <w:tcW w:w="1980" w:type="dxa"/>
            <w:vMerge w:val="restart"/>
            <w:tcBorders>
              <w:top w:val="single" w:color="auto" w:sz="4" w:space="0"/>
              <w:left w:val="single" w:color="auto" w:sz="4" w:space="0"/>
              <w:right w:val="single" w:color="auto" w:sz="4" w:space="0"/>
            </w:tcBorders>
            <w:noWrap w:val="0"/>
            <w:vAlign w:val="center"/>
          </w:tcPr>
          <w:p w14:paraId="7F94C0C4">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rPr>
              <w:t>商务部分</w:t>
            </w:r>
          </w:p>
          <w:p w14:paraId="3915A763">
            <w:pPr>
              <w:pageBreakBefore w:val="0"/>
              <w:kinsoku/>
              <w:wordWrap/>
              <w:overflowPunct/>
              <w:topLinePunct w:val="0"/>
              <w:bidi w:val="0"/>
              <w:snapToGrid/>
              <w:spacing w:line="360" w:lineRule="auto"/>
              <w:jc w:val="center"/>
              <w:textAlignment w:val="auto"/>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50</w:t>
            </w:r>
            <w:r>
              <w:rPr>
                <w:rFonts w:hint="eastAsia" w:ascii="宋体" w:hAnsi="宋体" w:eastAsia="宋体" w:cs="宋体"/>
              </w:rPr>
              <w:t>分）</w:t>
            </w:r>
          </w:p>
        </w:tc>
        <w:tc>
          <w:tcPr>
            <w:tcW w:w="1361" w:type="dxa"/>
            <w:tcBorders>
              <w:top w:val="single" w:color="auto" w:sz="4" w:space="0"/>
              <w:left w:val="single" w:color="auto" w:sz="4" w:space="0"/>
              <w:bottom w:val="single" w:color="auto" w:sz="4" w:space="0"/>
              <w:right w:val="single" w:color="auto" w:sz="4" w:space="0"/>
            </w:tcBorders>
            <w:noWrap w:val="0"/>
            <w:vAlign w:val="center"/>
          </w:tcPr>
          <w:p w14:paraId="265F5CC3">
            <w:pPr>
              <w:pageBreakBefore w:val="0"/>
              <w:kinsoku/>
              <w:wordWrap/>
              <w:overflowPunct/>
              <w:topLinePunct w:val="0"/>
              <w:autoSpaceDE w:val="0"/>
              <w:autoSpaceDN w:val="0"/>
              <w:bidi w:val="0"/>
              <w:snapToGrid/>
              <w:spacing w:line="36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检测设备</w:t>
            </w:r>
          </w:p>
        </w:tc>
        <w:tc>
          <w:tcPr>
            <w:tcW w:w="4038" w:type="dxa"/>
            <w:tcBorders>
              <w:top w:val="outset" w:color="auto" w:sz="6" w:space="0"/>
              <w:left w:val="single" w:color="auto" w:sz="4" w:space="0"/>
              <w:bottom w:val="outset" w:color="auto" w:sz="6" w:space="0"/>
              <w:right w:val="outset" w:color="auto" w:sz="6" w:space="0"/>
            </w:tcBorders>
            <w:noWrap w:val="0"/>
            <w:vAlign w:val="center"/>
          </w:tcPr>
          <w:p w14:paraId="14008D8C">
            <w:pPr>
              <w:pageBreakBefore w:val="0"/>
              <w:widowControl/>
              <w:kinsoku/>
              <w:wordWrap/>
              <w:overflowPunct/>
              <w:topLinePunct w:val="0"/>
              <w:bidi w:val="0"/>
              <w:snapToGrid/>
              <w:spacing w:line="360" w:lineRule="auto"/>
              <w:jc w:val="left"/>
              <w:textAlignment w:val="auto"/>
              <w:rPr>
                <w:rFonts w:hint="eastAsia" w:ascii="宋体" w:hAnsi="宋体" w:eastAsia="宋体" w:cs="宋体"/>
                <w:bCs/>
                <w:szCs w:val="21"/>
              </w:rPr>
            </w:pPr>
            <w:r>
              <w:rPr>
                <w:rFonts w:hint="eastAsia" w:ascii="宋体" w:hAnsi="宋体" w:eastAsia="宋体" w:cs="宋体"/>
                <w:bCs/>
                <w:szCs w:val="21"/>
              </w:rPr>
              <w:t>供应商具有食品安全检测的设施及仪器设备：液质联用仪、气质联用仪、原子吸收分光光度计、离子色谱仪（IC）、荧光定量（PCR）得</w:t>
            </w:r>
            <w:r>
              <w:rPr>
                <w:rFonts w:hint="eastAsia" w:ascii="宋体" w:hAnsi="宋体" w:eastAsia="宋体" w:cs="宋体"/>
                <w:bCs/>
                <w:szCs w:val="21"/>
                <w:lang w:val="en-US" w:eastAsia="zh-CN"/>
              </w:rPr>
              <w:t>5</w:t>
            </w:r>
            <w:r>
              <w:rPr>
                <w:rFonts w:hint="eastAsia" w:ascii="宋体" w:hAnsi="宋体" w:eastAsia="宋体" w:cs="宋体"/>
                <w:bCs/>
                <w:szCs w:val="21"/>
              </w:rPr>
              <w:t>分，缺失任何一项本项不得分。</w:t>
            </w:r>
          </w:p>
          <w:p w14:paraId="3349774E">
            <w:pPr>
              <w:pageBreakBefore w:val="0"/>
              <w:kinsoku/>
              <w:wordWrap/>
              <w:overflowPunct/>
              <w:topLinePunct w:val="0"/>
              <w:bidi w:val="0"/>
              <w:snapToGrid/>
              <w:spacing w:line="360" w:lineRule="auto"/>
              <w:jc w:val="left"/>
              <w:textAlignment w:val="auto"/>
              <w:rPr>
                <w:rFonts w:hint="eastAsia" w:ascii="宋体" w:hAnsi="宋体" w:eastAsia="宋体" w:cs="宋体"/>
                <w:bCs/>
                <w:szCs w:val="21"/>
              </w:rPr>
            </w:pPr>
            <w:r>
              <w:rPr>
                <w:rFonts w:hint="eastAsia" w:ascii="宋体" w:hAnsi="宋体" w:eastAsia="宋体" w:cs="宋体"/>
                <w:bCs/>
                <w:szCs w:val="21"/>
              </w:rPr>
              <w:t>（提供校准证书及发票证明文件）</w:t>
            </w:r>
          </w:p>
        </w:tc>
        <w:tc>
          <w:tcPr>
            <w:tcW w:w="668" w:type="dxa"/>
            <w:tcBorders>
              <w:top w:val="outset" w:color="auto" w:sz="6" w:space="0"/>
              <w:left w:val="single" w:color="auto" w:sz="4" w:space="0"/>
              <w:bottom w:val="outset" w:color="auto" w:sz="6" w:space="0"/>
              <w:right w:val="outset" w:color="auto" w:sz="6" w:space="0"/>
            </w:tcBorders>
            <w:noWrap w:val="0"/>
            <w:vAlign w:val="center"/>
          </w:tcPr>
          <w:p w14:paraId="7E11E308">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kern w:val="0"/>
                <w:szCs w:val="21"/>
                <w:lang w:bidi="zh-CN"/>
              </w:rPr>
              <w:t>5</w:t>
            </w:r>
            <w:r>
              <w:rPr>
                <w:rFonts w:hint="eastAsia" w:ascii="宋体" w:hAnsi="宋体" w:eastAsia="宋体" w:cs="宋体"/>
                <w:szCs w:val="21"/>
              </w:rPr>
              <w:t>分</w:t>
            </w:r>
          </w:p>
        </w:tc>
      </w:tr>
      <w:tr w14:paraId="46D19723">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11" w:hRule="atLeast"/>
        </w:trPr>
        <w:tc>
          <w:tcPr>
            <w:tcW w:w="778" w:type="dxa"/>
            <w:vMerge w:val="continue"/>
            <w:tcBorders>
              <w:left w:val="outset" w:color="auto" w:sz="6" w:space="0"/>
              <w:right w:val="outset" w:color="auto" w:sz="6" w:space="0"/>
            </w:tcBorders>
            <w:noWrap w:val="0"/>
            <w:vAlign w:val="center"/>
          </w:tcPr>
          <w:p w14:paraId="60184593">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p>
        </w:tc>
        <w:tc>
          <w:tcPr>
            <w:tcW w:w="1980" w:type="dxa"/>
            <w:vMerge w:val="continue"/>
            <w:tcBorders>
              <w:left w:val="single" w:color="auto" w:sz="4" w:space="0"/>
              <w:right w:val="single" w:color="auto" w:sz="4" w:space="0"/>
            </w:tcBorders>
            <w:noWrap w:val="0"/>
            <w:vAlign w:val="center"/>
          </w:tcPr>
          <w:p w14:paraId="71591FE6">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p>
        </w:tc>
        <w:tc>
          <w:tcPr>
            <w:tcW w:w="1361" w:type="dxa"/>
            <w:tcBorders>
              <w:top w:val="single" w:color="auto" w:sz="4" w:space="0"/>
              <w:left w:val="single" w:color="auto" w:sz="4" w:space="0"/>
              <w:bottom w:val="single" w:color="auto" w:sz="4" w:space="0"/>
              <w:right w:val="single" w:color="auto" w:sz="4" w:space="0"/>
            </w:tcBorders>
            <w:noWrap w:val="0"/>
            <w:vAlign w:val="center"/>
          </w:tcPr>
          <w:p w14:paraId="5C4226FA">
            <w:pPr>
              <w:pageBreakBefore w:val="0"/>
              <w:kinsoku/>
              <w:wordWrap/>
              <w:overflowPunct/>
              <w:topLinePunct w:val="0"/>
              <w:autoSpaceDE w:val="0"/>
              <w:autoSpaceDN w:val="0"/>
              <w:bidi w:val="0"/>
              <w:snapToGrid/>
              <w:spacing w:line="360" w:lineRule="auto"/>
              <w:jc w:val="center"/>
              <w:textAlignment w:val="auto"/>
              <w:rPr>
                <w:rFonts w:hint="eastAsia" w:ascii="宋体" w:hAnsi="宋体" w:eastAsia="宋体" w:cs="宋体"/>
                <w:kern w:val="0"/>
                <w:szCs w:val="21"/>
                <w:lang w:val="zh-CN" w:bidi="zh-CN"/>
              </w:rPr>
            </w:pPr>
            <w:r>
              <w:rPr>
                <w:rFonts w:hint="eastAsia" w:ascii="宋体" w:hAnsi="宋体" w:eastAsia="宋体" w:cs="宋体"/>
                <w:kern w:val="0"/>
                <w:szCs w:val="21"/>
              </w:rPr>
              <w:t>场地条件</w:t>
            </w:r>
          </w:p>
        </w:tc>
        <w:tc>
          <w:tcPr>
            <w:tcW w:w="4038" w:type="dxa"/>
            <w:tcBorders>
              <w:top w:val="outset" w:color="auto" w:sz="6" w:space="0"/>
              <w:left w:val="single" w:color="auto" w:sz="4" w:space="0"/>
              <w:bottom w:val="outset" w:color="auto" w:sz="6" w:space="0"/>
              <w:right w:val="outset" w:color="auto" w:sz="6" w:space="0"/>
            </w:tcBorders>
            <w:noWrap w:val="0"/>
            <w:vAlign w:val="top"/>
          </w:tcPr>
          <w:p w14:paraId="6A5162F6">
            <w:pPr>
              <w:pageBreakBefore w:val="0"/>
              <w:widowControl/>
              <w:kinsoku/>
              <w:wordWrap/>
              <w:overflowPunct/>
              <w:topLinePunct w:val="0"/>
              <w:bidi w:val="0"/>
              <w:snapToGrid/>
              <w:spacing w:line="360" w:lineRule="auto"/>
              <w:jc w:val="left"/>
              <w:textAlignment w:val="auto"/>
              <w:rPr>
                <w:rFonts w:hint="eastAsia" w:ascii="宋体" w:hAnsi="宋体" w:eastAsia="宋体" w:cs="宋体"/>
                <w:bCs/>
                <w:szCs w:val="21"/>
              </w:rPr>
            </w:pPr>
            <w:r>
              <w:rPr>
                <w:rFonts w:hint="eastAsia" w:ascii="宋体" w:hAnsi="宋体" w:eastAsia="宋体" w:cs="宋体"/>
                <w:bCs/>
                <w:szCs w:val="21"/>
              </w:rPr>
              <w:t>（1）供应商开展食品安全抽样检验工作实验场所具备布局合理的微生物检验区和理化检验区的得4分。</w:t>
            </w:r>
          </w:p>
          <w:p w14:paraId="064DFA7A">
            <w:pPr>
              <w:pageBreakBefore w:val="0"/>
              <w:widowControl/>
              <w:kinsoku/>
              <w:wordWrap/>
              <w:overflowPunct/>
              <w:topLinePunct w:val="0"/>
              <w:bidi w:val="0"/>
              <w:snapToGrid/>
              <w:spacing w:line="360" w:lineRule="auto"/>
              <w:jc w:val="left"/>
              <w:textAlignment w:val="auto"/>
              <w:rPr>
                <w:rFonts w:hint="eastAsia" w:ascii="宋体" w:hAnsi="宋体" w:eastAsia="宋体" w:cs="宋体"/>
                <w:bCs/>
                <w:szCs w:val="21"/>
              </w:rPr>
            </w:pPr>
            <w:r>
              <w:rPr>
                <w:rFonts w:hint="eastAsia" w:ascii="宋体" w:hAnsi="宋体" w:eastAsia="宋体" w:cs="宋体"/>
                <w:bCs/>
                <w:szCs w:val="21"/>
              </w:rPr>
              <w:t>（需提供食品抽样检验工作实验场所的房产证或所有权证明文件或有效的房屋租赁合同及发票；抽样检验工作实验场所的平面布局图，并提供各组成部分面积清单,工作场地照片、微生物实验室备案证书；未达到上述要求或未提供有效证明文件的不得分。）</w:t>
            </w:r>
          </w:p>
          <w:p w14:paraId="73DA4EE9">
            <w:pPr>
              <w:pageBreakBefore w:val="0"/>
              <w:kinsoku/>
              <w:wordWrap/>
              <w:overflowPunct/>
              <w:topLinePunct w:val="0"/>
              <w:bidi w:val="0"/>
              <w:snapToGrid/>
              <w:spacing w:line="360" w:lineRule="auto"/>
              <w:jc w:val="left"/>
              <w:textAlignment w:val="auto"/>
              <w:rPr>
                <w:rFonts w:hint="eastAsia" w:ascii="宋体" w:hAnsi="宋体" w:eastAsia="宋体" w:cs="宋体"/>
                <w:bCs/>
                <w:szCs w:val="21"/>
              </w:rPr>
            </w:pPr>
            <w:r>
              <w:rPr>
                <w:rFonts w:hint="eastAsia" w:ascii="宋体" w:hAnsi="宋体" w:eastAsia="宋体" w:cs="宋体"/>
                <w:bCs/>
                <w:szCs w:val="21"/>
              </w:rPr>
              <w:t>（2）供应商具备冷藏冷冻食品的专用冷库具备自建食品保存专用冷藏库和专用冷冻库的（必须提供冷藏库和冷冻库温度等参数校准证书）得1分，未按要求提供相关材料的不得分。</w:t>
            </w:r>
          </w:p>
        </w:tc>
        <w:tc>
          <w:tcPr>
            <w:tcW w:w="668" w:type="dxa"/>
            <w:tcBorders>
              <w:top w:val="outset" w:color="auto" w:sz="6" w:space="0"/>
              <w:left w:val="single" w:color="auto" w:sz="4" w:space="0"/>
              <w:bottom w:val="outset" w:color="auto" w:sz="6" w:space="0"/>
              <w:right w:val="outset" w:color="auto" w:sz="6" w:space="0"/>
            </w:tcBorders>
            <w:noWrap w:val="0"/>
            <w:vAlign w:val="center"/>
          </w:tcPr>
          <w:p w14:paraId="282B7A0C">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kern w:val="0"/>
                <w:szCs w:val="21"/>
                <w:lang w:bidi="zh-CN"/>
              </w:rPr>
              <w:t>5</w:t>
            </w:r>
            <w:r>
              <w:rPr>
                <w:rFonts w:hint="eastAsia" w:ascii="宋体" w:hAnsi="宋体" w:eastAsia="宋体" w:cs="宋体"/>
                <w:kern w:val="0"/>
                <w:szCs w:val="21"/>
                <w:lang w:val="zh-CN" w:bidi="zh-CN"/>
              </w:rPr>
              <w:t>分</w:t>
            </w:r>
          </w:p>
        </w:tc>
      </w:tr>
      <w:tr w14:paraId="6DFBB8B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11" w:hRule="atLeast"/>
        </w:trPr>
        <w:tc>
          <w:tcPr>
            <w:tcW w:w="778" w:type="dxa"/>
            <w:vMerge w:val="continue"/>
            <w:tcBorders>
              <w:left w:val="outset" w:color="auto" w:sz="6" w:space="0"/>
              <w:right w:val="outset" w:color="auto" w:sz="6" w:space="0"/>
            </w:tcBorders>
            <w:noWrap w:val="0"/>
            <w:vAlign w:val="center"/>
          </w:tcPr>
          <w:p w14:paraId="4D516A89">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p>
        </w:tc>
        <w:tc>
          <w:tcPr>
            <w:tcW w:w="1980" w:type="dxa"/>
            <w:vMerge w:val="continue"/>
            <w:tcBorders>
              <w:left w:val="single" w:color="auto" w:sz="4" w:space="0"/>
              <w:right w:val="single" w:color="auto" w:sz="4" w:space="0"/>
            </w:tcBorders>
            <w:noWrap w:val="0"/>
            <w:vAlign w:val="center"/>
          </w:tcPr>
          <w:p w14:paraId="596533F6">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p>
        </w:tc>
        <w:tc>
          <w:tcPr>
            <w:tcW w:w="1361" w:type="dxa"/>
            <w:tcBorders>
              <w:top w:val="single" w:color="auto" w:sz="4" w:space="0"/>
              <w:left w:val="single" w:color="auto" w:sz="4" w:space="0"/>
              <w:bottom w:val="single" w:color="auto" w:sz="4" w:space="0"/>
              <w:right w:val="single" w:color="auto" w:sz="4" w:space="0"/>
            </w:tcBorders>
            <w:noWrap w:val="0"/>
            <w:vAlign w:val="center"/>
          </w:tcPr>
          <w:p w14:paraId="12B62334">
            <w:pPr>
              <w:pageBreakBefore w:val="0"/>
              <w:kinsoku/>
              <w:wordWrap/>
              <w:overflowPunct/>
              <w:topLinePunct w:val="0"/>
              <w:autoSpaceDE w:val="0"/>
              <w:autoSpaceDN w:val="0"/>
              <w:bidi w:val="0"/>
              <w:snapToGrid/>
              <w:spacing w:line="360" w:lineRule="auto"/>
              <w:jc w:val="center"/>
              <w:textAlignment w:val="auto"/>
              <w:rPr>
                <w:rFonts w:hint="eastAsia" w:ascii="宋体" w:hAnsi="宋体" w:eastAsia="宋体" w:cs="宋体"/>
                <w:kern w:val="0"/>
                <w:szCs w:val="21"/>
                <w:lang w:bidi="zh-CN"/>
              </w:rPr>
            </w:pPr>
            <w:r>
              <w:rPr>
                <w:rFonts w:hint="eastAsia" w:ascii="宋体" w:hAnsi="宋体" w:eastAsia="宋体" w:cs="宋体"/>
                <w:color w:val="000000"/>
                <w:szCs w:val="21"/>
              </w:rPr>
              <w:t>综合覆盖率或专业类产品检测能力</w:t>
            </w:r>
          </w:p>
        </w:tc>
        <w:tc>
          <w:tcPr>
            <w:tcW w:w="4038" w:type="dxa"/>
            <w:tcBorders>
              <w:top w:val="outset" w:color="auto" w:sz="6" w:space="0"/>
              <w:left w:val="single" w:color="auto" w:sz="4" w:space="0"/>
              <w:bottom w:val="outset" w:color="auto" w:sz="6" w:space="0"/>
              <w:right w:val="outset" w:color="auto" w:sz="6" w:space="0"/>
            </w:tcBorders>
            <w:noWrap w:val="0"/>
            <w:vAlign w:val="top"/>
          </w:tcPr>
          <w:p w14:paraId="3BA06328">
            <w:pPr>
              <w:widowControl/>
              <w:spacing w:line="360" w:lineRule="auto"/>
              <w:rPr>
                <w:rFonts w:hint="eastAsia" w:ascii="宋体" w:hAnsi="宋体" w:eastAsia="宋体" w:cs="宋体"/>
                <w:bCs/>
                <w:szCs w:val="21"/>
                <w:lang w:val="en-US" w:eastAsia="zh-CN"/>
              </w:rPr>
            </w:pPr>
            <w:r>
              <w:rPr>
                <w:rFonts w:hint="eastAsia" w:ascii="宋体" w:hAnsi="宋体" w:eastAsia="宋体" w:cs="宋体"/>
                <w:bCs/>
                <w:szCs w:val="21"/>
                <w:lang w:val="en-US" w:eastAsia="zh-CN"/>
              </w:rPr>
              <w:t>根据供应商的认证检测范围，包含《2025年食品安全监督抽检实施细则》所有指标的得10分，每有一项不包含的扣1分，扣完为止。（提供实验室检验项目资质表，并与《国家食品安全监督抽检实施细则》（2025年版，如有更新，依照最新版）检验项目进行对照，标明对应资质附表中的页码，证明资料不完整或不一致的不计分）。</w:t>
            </w:r>
          </w:p>
        </w:tc>
        <w:tc>
          <w:tcPr>
            <w:tcW w:w="668" w:type="dxa"/>
            <w:tcBorders>
              <w:top w:val="outset" w:color="auto" w:sz="6" w:space="0"/>
              <w:left w:val="single" w:color="auto" w:sz="4" w:space="0"/>
              <w:bottom w:val="outset" w:color="auto" w:sz="6" w:space="0"/>
              <w:right w:val="outset" w:color="auto" w:sz="6" w:space="0"/>
            </w:tcBorders>
            <w:noWrap w:val="0"/>
            <w:vAlign w:val="center"/>
          </w:tcPr>
          <w:p w14:paraId="29AD03ED">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kern w:val="0"/>
                <w:szCs w:val="21"/>
                <w:lang w:bidi="zh-CN"/>
              </w:rPr>
              <w:t>1</w:t>
            </w:r>
            <w:r>
              <w:rPr>
                <w:rFonts w:hint="eastAsia" w:ascii="宋体" w:hAnsi="宋体" w:eastAsia="宋体" w:cs="宋体"/>
                <w:kern w:val="0"/>
                <w:szCs w:val="21"/>
                <w:lang w:val="en-US" w:bidi="zh-CN"/>
              </w:rPr>
              <w:t>0</w:t>
            </w:r>
            <w:r>
              <w:rPr>
                <w:rFonts w:hint="eastAsia" w:ascii="宋体" w:hAnsi="宋体" w:eastAsia="宋体" w:cs="宋体"/>
                <w:kern w:val="0"/>
                <w:szCs w:val="21"/>
                <w:lang w:val="zh-CN" w:bidi="zh-CN"/>
              </w:rPr>
              <w:t>分</w:t>
            </w:r>
          </w:p>
        </w:tc>
      </w:tr>
      <w:tr w14:paraId="6AF02BD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11" w:hRule="atLeast"/>
        </w:trPr>
        <w:tc>
          <w:tcPr>
            <w:tcW w:w="778" w:type="dxa"/>
            <w:vMerge w:val="continue"/>
            <w:tcBorders>
              <w:left w:val="outset" w:color="auto" w:sz="6" w:space="0"/>
              <w:right w:val="outset" w:color="auto" w:sz="6" w:space="0"/>
            </w:tcBorders>
            <w:noWrap w:val="0"/>
            <w:vAlign w:val="center"/>
          </w:tcPr>
          <w:p w14:paraId="066DC2B8">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p>
        </w:tc>
        <w:tc>
          <w:tcPr>
            <w:tcW w:w="1980" w:type="dxa"/>
            <w:vMerge w:val="continue"/>
            <w:tcBorders>
              <w:left w:val="single" w:color="auto" w:sz="4" w:space="0"/>
              <w:right w:val="single" w:color="auto" w:sz="4" w:space="0"/>
            </w:tcBorders>
            <w:noWrap w:val="0"/>
            <w:vAlign w:val="center"/>
          </w:tcPr>
          <w:p w14:paraId="6AEFACCD">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p>
        </w:tc>
        <w:tc>
          <w:tcPr>
            <w:tcW w:w="1361" w:type="dxa"/>
            <w:tcBorders>
              <w:top w:val="single" w:color="auto" w:sz="4" w:space="0"/>
              <w:left w:val="single" w:color="auto" w:sz="4" w:space="0"/>
              <w:bottom w:val="single" w:color="auto" w:sz="4" w:space="0"/>
              <w:right w:val="single" w:color="auto" w:sz="4" w:space="0"/>
            </w:tcBorders>
            <w:noWrap w:val="0"/>
            <w:vAlign w:val="center"/>
          </w:tcPr>
          <w:p w14:paraId="48461A3C">
            <w:pPr>
              <w:pageBreakBefore w:val="0"/>
              <w:kinsoku/>
              <w:wordWrap/>
              <w:overflowPunct/>
              <w:topLinePunct w:val="0"/>
              <w:autoSpaceDE w:val="0"/>
              <w:autoSpaceDN w:val="0"/>
              <w:bidi w:val="0"/>
              <w:snapToGrid/>
              <w:spacing w:line="360" w:lineRule="auto"/>
              <w:jc w:val="center"/>
              <w:textAlignment w:val="auto"/>
              <w:rPr>
                <w:rFonts w:hint="eastAsia" w:ascii="宋体" w:hAnsi="宋体" w:eastAsia="宋体" w:cs="宋体"/>
                <w:kern w:val="0"/>
                <w:szCs w:val="21"/>
                <w:lang w:val="zh-CN" w:bidi="zh-CN"/>
              </w:rPr>
            </w:pPr>
            <w:r>
              <w:rPr>
                <w:rFonts w:hint="eastAsia" w:ascii="宋体" w:hAnsi="宋体" w:eastAsia="宋体" w:cs="宋体"/>
                <w:kern w:val="0"/>
                <w:szCs w:val="21"/>
              </w:rPr>
              <w:t>抽检数据质量情况</w:t>
            </w:r>
          </w:p>
        </w:tc>
        <w:tc>
          <w:tcPr>
            <w:tcW w:w="4038" w:type="dxa"/>
            <w:tcBorders>
              <w:top w:val="outset" w:color="auto" w:sz="6" w:space="0"/>
              <w:left w:val="single" w:color="auto" w:sz="4" w:space="0"/>
              <w:bottom w:val="outset" w:color="auto" w:sz="6" w:space="0"/>
              <w:right w:val="outset" w:color="auto" w:sz="6" w:space="0"/>
            </w:tcBorders>
            <w:noWrap w:val="0"/>
            <w:vAlign w:val="top"/>
          </w:tcPr>
          <w:p w14:paraId="7F685175">
            <w:pPr>
              <w:pageBreakBefore w:val="0"/>
              <w:widowControl/>
              <w:kinsoku/>
              <w:wordWrap/>
              <w:overflowPunct/>
              <w:topLinePunct w:val="0"/>
              <w:bidi w:val="0"/>
              <w:snapToGrid/>
              <w:spacing w:line="360" w:lineRule="auto"/>
              <w:jc w:val="left"/>
              <w:textAlignment w:val="auto"/>
              <w:rPr>
                <w:rFonts w:hint="eastAsia" w:ascii="宋体" w:hAnsi="宋体" w:eastAsia="宋体" w:cs="宋体"/>
                <w:bCs/>
                <w:kern w:val="2"/>
                <w:szCs w:val="21"/>
              </w:rPr>
            </w:pPr>
            <w:r>
              <w:rPr>
                <w:rFonts w:hint="eastAsia" w:ascii="宋体" w:hAnsi="宋体" w:eastAsia="宋体" w:cs="宋体"/>
                <w:bCs/>
                <w:szCs w:val="21"/>
                <w:lang w:eastAsia="zh-CN"/>
              </w:rPr>
              <w:t>供应商</w:t>
            </w:r>
            <w:r>
              <w:rPr>
                <w:rFonts w:hint="eastAsia" w:ascii="宋体" w:hAnsi="宋体" w:eastAsia="宋体" w:cs="宋体"/>
                <w:bCs/>
                <w:szCs w:val="21"/>
              </w:rPr>
              <w:t>在省、设区市市场监管部门</w:t>
            </w:r>
            <w:r>
              <w:rPr>
                <w:rFonts w:hint="eastAsia" w:ascii="宋体" w:hAnsi="宋体" w:eastAsia="宋体" w:cs="宋体"/>
                <w:bCs/>
                <w:szCs w:val="21"/>
                <w:lang w:val="en-US" w:eastAsia="zh-CN"/>
              </w:rPr>
              <w:t>2025</w:t>
            </w:r>
            <w:r>
              <w:rPr>
                <w:rFonts w:hint="eastAsia" w:ascii="宋体" w:hAnsi="宋体" w:eastAsia="宋体" w:cs="宋体"/>
                <w:bCs/>
                <w:szCs w:val="21"/>
              </w:rPr>
              <w:t>年以来数据质量抽查（单次抽查通报批次不少于450批次），准确率达到99.0%</w:t>
            </w:r>
            <w:r>
              <w:rPr>
                <w:rFonts w:hint="eastAsia" w:ascii="宋体" w:hAnsi="宋体" w:eastAsia="宋体" w:cs="宋体"/>
                <w:bCs/>
                <w:kern w:val="2"/>
                <w:szCs w:val="21"/>
              </w:rPr>
              <w:t>及以上得</w:t>
            </w:r>
            <w:r>
              <w:rPr>
                <w:rFonts w:hint="eastAsia" w:ascii="宋体" w:hAnsi="宋体" w:eastAsia="宋体" w:cs="宋体"/>
                <w:bCs/>
                <w:kern w:val="2"/>
                <w:szCs w:val="21"/>
                <w:lang w:val="en-US" w:eastAsia="zh-CN"/>
              </w:rPr>
              <w:t>5</w:t>
            </w:r>
            <w:r>
              <w:rPr>
                <w:rFonts w:hint="eastAsia" w:ascii="宋体" w:hAnsi="宋体" w:eastAsia="宋体" w:cs="宋体"/>
                <w:bCs/>
                <w:kern w:val="2"/>
                <w:szCs w:val="21"/>
              </w:rPr>
              <w:t>分，95-99%之间得</w:t>
            </w:r>
            <w:r>
              <w:rPr>
                <w:rFonts w:hint="eastAsia" w:ascii="宋体" w:hAnsi="宋体" w:eastAsia="宋体" w:cs="宋体"/>
                <w:bCs/>
                <w:kern w:val="2"/>
                <w:szCs w:val="21"/>
                <w:lang w:val="en-US" w:eastAsia="zh-CN"/>
              </w:rPr>
              <w:t>3</w:t>
            </w:r>
            <w:r>
              <w:rPr>
                <w:rFonts w:hint="eastAsia" w:ascii="宋体" w:hAnsi="宋体" w:eastAsia="宋体" w:cs="宋体"/>
                <w:bCs/>
                <w:kern w:val="2"/>
                <w:szCs w:val="21"/>
              </w:rPr>
              <w:t>分（含95%），95%以下不得分。</w:t>
            </w:r>
          </w:p>
          <w:p w14:paraId="2C2ABEF3">
            <w:pPr>
              <w:pageBreakBefore w:val="0"/>
              <w:widowControl/>
              <w:kinsoku/>
              <w:wordWrap/>
              <w:overflowPunct/>
              <w:topLinePunct w:val="0"/>
              <w:bidi w:val="0"/>
              <w:snapToGrid/>
              <w:spacing w:line="360" w:lineRule="auto"/>
              <w:jc w:val="left"/>
              <w:textAlignment w:val="auto"/>
              <w:rPr>
                <w:rFonts w:hint="eastAsia" w:ascii="宋体" w:hAnsi="宋体" w:eastAsia="宋体" w:cs="宋体"/>
                <w:bCs/>
                <w:szCs w:val="21"/>
              </w:rPr>
            </w:pPr>
            <w:r>
              <w:rPr>
                <w:rFonts w:hint="eastAsia" w:ascii="宋体" w:hAnsi="宋体" w:eastAsia="宋体" w:cs="宋体"/>
                <w:b w:val="0"/>
                <w:bCs/>
                <w:kern w:val="2"/>
                <w:szCs w:val="21"/>
              </w:rPr>
              <w:t>（</w:t>
            </w:r>
            <w:r>
              <w:rPr>
                <w:rFonts w:hint="eastAsia" w:ascii="宋体" w:hAnsi="宋体" w:eastAsia="宋体" w:cs="宋体"/>
                <w:b w:val="0"/>
                <w:bCs/>
                <w:sz w:val="21"/>
                <w:szCs w:val="21"/>
              </w:rPr>
              <w:t>需提供加盖任务委托方公章的</w:t>
            </w:r>
            <w:r>
              <w:rPr>
                <w:rFonts w:hint="eastAsia" w:ascii="宋体" w:hAnsi="宋体" w:eastAsia="宋体" w:cs="宋体"/>
                <w:b w:val="0"/>
                <w:bCs/>
                <w:sz w:val="21"/>
                <w:szCs w:val="21"/>
                <w:lang w:val="en-US" w:eastAsia="zh-CN"/>
              </w:rPr>
              <w:t>2025</w:t>
            </w:r>
            <w:r>
              <w:rPr>
                <w:rFonts w:hint="eastAsia" w:ascii="宋体" w:hAnsi="宋体" w:eastAsia="宋体" w:cs="宋体"/>
                <w:b w:val="0"/>
                <w:bCs/>
                <w:sz w:val="21"/>
                <w:szCs w:val="21"/>
              </w:rPr>
              <w:t>年项目验收证明</w:t>
            </w:r>
            <w:r>
              <w:rPr>
                <w:rFonts w:hint="eastAsia" w:ascii="宋体" w:hAnsi="宋体" w:eastAsia="宋体" w:cs="宋体"/>
                <w:b w:val="0"/>
                <w:bCs/>
                <w:kern w:val="2"/>
                <w:szCs w:val="21"/>
              </w:rPr>
              <w:t>。不能按要求提供的不得分。）</w:t>
            </w:r>
          </w:p>
        </w:tc>
        <w:tc>
          <w:tcPr>
            <w:tcW w:w="668" w:type="dxa"/>
            <w:tcBorders>
              <w:top w:val="outset" w:color="auto" w:sz="6" w:space="0"/>
              <w:left w:val="single" w:color="auto" w:sz="4" w:space="0"/>
              <w:bottom w:val="outset" w:color="auto" w:sz="6" w:space="0"/>
              <w:right w:val="outset" w:color="auto" w:sz="6" w:space="0"/>
            </w:tcBorders>
            <w:noWrap w:val="0"/>
            <w:vAlign w:val="center"/>
          </w:tcPr>
          <w:p w14:paraId="785898A1">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kern w:val="0"/>
                <w:szCs w:val="21"/>
                <w:lang w:val="en-US" w:bidi="zh-CN"/>
              </w:rPr>
              <w:t>5</w:t>
            </w:r>
            <w:r>
              <w:rPr>
                <w:rFonts w:hint="eastAsia" w:ascii="宋体" w:hAnsi="宋体" w:eastAsia="宋体" w:cs="宋体"/>
                <w:kern w:val="0"/>
                <w:szCs w:val="21"/>
                <w:lang w:val="zh-CN" w:bidi="zh-CN"/>
              </w:rPr>
              <w:t>分</w:t>
            </w:r>
          </w:p>
        </w:tc>
      </w:tr>
      <w:tr w14:paraId="700FB1C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11" w:hRule="atLeast"/>
        </w:trPr>
        <w:tc>
          <w:tcPr>
            <w:tcW w:w="778" w:type="dxa"/>
            <w:vMerge w:val="continue"/>
            <w:tcBorders>
              <w:left w:val="outset" w:color="auto" w:sz="6" w:space="0"/>
              <w:right w:val="outset" w:color="auto" w:sz="6" w:space="0"/>
            </w:tcBorders>
            <w:noWrap w:val="0"/>
            <w:vAlign w:val="center"/>
          </w:tcPr>
          <w:p w14:paraId="69C8342D">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p>
        </w:tc>
        <w:tc>
          <w:tcPr>
            <w:tcW w:w="1980" w:type="dxa"/>
            <w:vMerge w:val="continue"/>
            <w:tcBorders>
              <w:left w:val="single" w:color="auto" w:sz="4" w:space="0"/>
              <w:right w:val="single" w:color="auto" w:sz="4" w:space="0"/>
            </w:tcBorders>
            <w:noWrap w:val="0"/>
            <w:vAlign w:val="center"/>
          </w:tcPr>
          <w:p w14:paraId="7FD130FE">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p>
        </w:tc>
        <w:tc>
          <w:tcPr>
            <w:tcW w:w="1361" w:type="dxa"/>
            <w:tcBorders>
              <w:top w:val="single" w:color="auto" w:sz="4" w:space="0"/>
              <w:left w:val="single" w:color="auto" w:sz="4" w:space="0"/>
              <w:bottom w:val="single" w:color="auto" w:sz="4" w:space="0"/>
              <w:right w:val="single" w:color="auto" w:sz="4" w:space="0"/>
            </w:tcBorders>
            <w:noWrap w:val="0"/>
            <w:vAlign w:val="center"/>
          </w:tcPr>
          <w:p w14:paraId="6A210E3F">
            <w:pPr>
              <w:pageBreakBefore w:val="0"/>
              <w:kinsoku/>
              <w:wordWrap/>
              <w:overflowPunct/>
              <w:topLinePunct w:val="0"/>
              <w:autoSpaceDE w:val="0"/>
              <w:autoSpaceDN w:val="0"/>
              <w:bidi w:val="0"/>
              <w:snapToGrid/>
              <w:spacing w:line="36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工作业绩</w:t>
            </w:r>
          </w:p>
        </w:tc>
        <w:tc>
          <w:tcPr>
            <w:tcW w:w="4038" w:type="dxa"/>
            <w:tcBorders>
              <w:top w:val="outset" w:color="auto" w:sz="6" w:space="0"/>
              <w:left w:val="single" w:color="auto" w:sz="4" w:space="0"/>
              <w:bottom w:val="outset" w:color="auto" w:sz="6" w:space="0"/>
              <w:right w:val="outset" w:color="auto" w:sz="6" w:space="0"/>
            </w:tcBorders>
            <w:noWrap w:val="0"/>
            <w:vAlign w:val="top"/>
          </w:tcPr>
          <w:p w14:paraId="5C088F7C">
            <w:pPr>
              <w:pageBreakBefore w:val="0"/>
              <w:widowControl/>
              <w:kinsoku/>
              <w:wordWrap/>
              <w:overflowPunct/>
              <w:topLinePunct w:val="0"/>
              <w:bidi w:val="0"/>
              <w:snapToGrid/>
              <w:spacing w:line="360" w:lineRule="auto"/>
              <w:textAlignment w:val="auto"/>
              <w:rPr>
                <w:rFonts w:hint="eastAsia" w:ascii="宋体" w:hAnsi="宋体" w:eastAsia="宋体" w:cs="宋体"/>
                <w:kern w:val="0"/>
                <w:szCs w:val="21"/>
                <w:lang w:val="en-US" w:eastAsia="zh-CN"/>
              </w:rPr>
            </w:pPr>
            <w:r>
              <w:rPr>
                <w:rFonts w:hint="eastAsia" w:ascii="宋体" w:hAnsi="宋体" w:eastAsia="宋体" w:cs="宋体"/>
                <w:kern w:val="0"/>
                <w:szCs w:val="21"/>
              </w:rPr>
              <w:t>自2022年1月1日起（以合同签订时间或委托书时间为准），承担过省级及以上市场监督管理部门食品抽检任务得</w:t>
            </w:r>
            <w:r>
              <w:rPr>
                <w:rFonts w:hint="eastAsia" w:ascii="宋体" w:hAnsi="宋体" w:eastAsia="宋体" w:cs="宋体"/>
                <w:kern w:val="0"/>
                <w:szCs w:val="21"/>
                <w:lang w:val="en-US" w:eastAsia="zh-CN"/>
              </w:rPr>
              <w:t>5</w:t>
            </w:r>
            <w:r>
              <w:rPr>
                <w:rFonts w:hint="eastAsia" w:ascii="宋体" w:hAnsi="宋体" w:eastAsia="宋体" w:cs="宋体"/>
                <w:kern w:val="0"/>
                <w:szCs w:val="21"/>
              </w:rPr>
              <w:t>分；承担过市级市场监督管理部门食品抽检任务得</w:t>
            </w:r>
            <w:r>
              <w:rPr>
                <w:rFonts w:hint="eastAsia" w:ascii="宋体" w:hAnsi="宋体" w:eastAsia="宋体" w:cs="宋体"/>
                <w:kern w:val="0"/>
                <w:szCs w:val="21"/>
                <w:lang w:val="en-US" w:eastAsia="zh-CN"/>
              </w:rPr>
              <w:t>3</w:t>
            </w:r>
            <w:r>
              <w:rPr>
                <w:rFonts w:hint="eastAsia" w:ascii="宋体" w:hAnsi="宋体" w:eastAsia="宋体" w:cs="宋体"/>
                <w:kern w:val="0"/>
                <w:szCs w:val="21"/>
              </w:rPr>
              <w:t>分</w:t>
            </w:r>
            <w:r>
              <w:rPr>
                <w:rFonts w:hint="eastAsia" w:ascii="宋体" w:hAnsi="宋体" w:eastAsia="宋体" w:cs="宋体"/>
                <w:kern w:val="0"/>
                <w:szCs w:val="21"/>
                <w:lang w:val="en-US" w:eastAsia="zh-CN"/>
              </w:rPr>
              <w:t>；</w:t>
            </w:r>
            <w:r>
              <w:rPr>
                <w:rFonts w:hint="eastAsia" w:ascii="宋体" w:hAnsi="宋体" w:eastAsia="宋体" w:cs="宋体"/>
                <w:kern w:val="0"/>
                <w:szCs w:val="21"/>
              </w:rPr>
              <w:t>承担过县级市场监督管理部门食品抽检任务得</w:t>
            </w:r>
            <w:r>
              <w:rPr>
                <w:rFonts w:hint="eastAsia" w:ascii="宋体" w:hAnsi="宋体" w:eastAsia="宋体" w:cs="宋体"/>
                <w:kern w:val="0"/>
                <w:szCs w:val="21"/>
                <w:lang w:val="en-US" w:eastAsia="zh-CN"/>
              </w:rPr>
              <w:t>2</w:t>
            </w:r>
            <w:r>
              <w:rPr>
                <w:rFonts w:hint="eastAsia" w:ascii="宋体" w:hAnsi="宋体" w:eastAsia="宋体" w:cs="宋体"/>
                <w:kern w:val="0"/>
                <w:szCs w:val="21"/>
              </w:rPr>
              <w:t>分。</w:t>
            </w:r>
            <w:r>
              <w:rPr>
                <w:rFonts w:hint="eastAsia" w:ascii="宋体" w:hAnsi="宋体" w:eastAsia="宋体" w:cs="宋体"/>
                <w:kern w:val="0"/>
                <w:szCs w:val="21"/>
                <w:lang w:val="en-US" w:eastAsia="zh-CN"/>
              </w:rPr>
              <w:t>本项最高得15分。</w:t>
            </w:r>
          </w:p>
          <w:p w14:paraId="381DCB74">
            <w:pPr>
              <w:pageBreakBefore w:val="0"/>
              <w:widowControl/>
              <w:kinsoku/>
              <w:wordWrap/>
              <w:overflowPunct/>
              <w:topLinePunct w:val="0"/>
              <w:bidi w:val="0"/>
              <w:snapToGrid/>
              <w:spacing w:line="36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w:t>
            </w:r>
            <w:r>
              <w:rPr>
                <w:rFonts w:hint="eastAsia" w:ascii="宋体" w:hAnsi="宋体" w:eastAsia="宋体" w:cs="宋体"/>
                <w:bCs/>
                <w:szCs w:val="21"/>
              </w:rPr>
              <w:t>本项</w:t>
            </w:r>
            <w:r>
              <w:rPr>
                <w:rFonts w:hint="eastAsia" w:ascii="宋体" w:hAnsi="宋体" w:eastAsia="宋体" w:cs="宋体"/>
                <w:kern w:val="0"/>
                <w:szCs w:val="21"/>
              </w:rPr>
              <w:t>需提供中标</w:t>
            </w:r>
            <w:r>
              <w:rPr>
                <w:rFonts w:hint="eastAsia" w:ascii="宋体" w:hAnsi="宋体" w:eastAsia="宋体" w:cs="宋体"/>
                <w:kern w:val="0"/>
                <w:szCs w:val="21"/>
                <w:lang w:eastAsia="zh-CN"/>
              </w:rPr>
              <w:t>（</w:t>
            </w:r>
            <w:r>
              <w:rPr>
                <w:rFonts w:hint="eastAsia" w:ascii="宋体" w:hAnsi="宋体" w:eastAsia="宋体" w:cs="宋体"/>
                <w:kern w:val="0"/>
                <w:szCs w:val="21"/>
                <w:lang w:val="en-US" w:eastAsia="zh-CN"/>
              </w:rPr>
              <w:t>或成交）</w:t>
            </w:r>
            <w:r>
              <w:rPr>
                <w:rFonts w:hint="eastAsia" w:ascii="宋体" w:hAnsi="宋体" w:eastAsia="宋体" w:cs="宋体"/>
                <w:kern w:val="0"/>
                <w:szCs w:val="21"/>
              </w:rPr>
              <w:t>网页截图、中标</w:t>
            </w:r>
            <w:r>
              <w:rPr>
                <w:rFonts w:hint="eastAsia" w:ascii="宋体" w:hAnsi="宋体" w:eastAsia="宋体" w:cs="宋体"/>
                <w:kern w:val="0"/>
                <w:szCs w:val="21"/>
                <w:lang w:eastAsia="zh-CN"/>
              </w:rPr>
              <w:t>（</w:t>
            </w:r>
            <w:r>
              <w:rPr>
                <w:rFonts w:hint="eastAsia" w:ascii="宋体" w:hAnsi="宋体" w:eastAsia="宋体" w:cs="宋体"/>
                <w:kern w:val="0"/>
                <w:szCs w:val="21"/>
                <w:lang w:val="en-US" w:eastAsia="zh-CN"/>
              </w:rPr>
              <w:t>或成交）</w:t>
            </w:r>
            <w:r>
              <w:rPr>
                <w:rFonts w:hint="eastAsia" w:ascii="宋体" w:hAnsi="宋体" w:eastAsia="宋体" w:cs="宋体"/>
                <w:kern w:val="0"/>
                <w:szCs w:val="21"/>
              </w:rPr>
              <w:t>通知书、合同，证明资料不完整或不提供的不得分。）</w:t>
            </w:r>
          </w:p>
        </w:tc>
        <w:tc>
          <w:tcPr>
            <w:tcW w:w="668" w:type="dxa"/>
            <w:tcBorders>
              <w:top w:val="outset" w:color="auto" w:sz="6" w:space="0"/>
              <w:left w:val="single" w:color="auto" w:sz="4" w:space="0"/>
              <w:bottom w:val="outset" w:color="auto" w:sz="6" w:space="0"/>
              <w:right w:val="outset" w:color="auto" w:sz="6" w:space="0"/>
            </w:tcBorders>
            <w:noWrap w:val="0"/>
            <w:vAlign w:val="center"/>
          </w:tcPr>
          <w:p w14:paraId="66546335">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lang w:val="en-US" w:eastAsia="zh-CN"/>
              </w:rPr>
              <w:t>15</w:t>
            </w:r>
            <w:r>
              <w:rPr>
                <w:rFonts w:hint="eastAsia" w:ascii="宋体" w:hAnsi="宋体" w:eastAsia="宋体" w:cs="宋体"/>
                <w:szCs w:val="21"/>
              </w:rPr>
              <w:t>分</w:t>
            </w:r>
          </w:p>
        </w:tc>
      </w:tr>
      <w:tr w14:paraId="79CC0E4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108" w:hRule="atLeast"/>
        </w:trPr>
        <w:tc>
          <w:tcPr>
            <w:tcW w:w="778" w:type="dxa"/>
            <w:vMerge w:val="continue"/>
            <w:tcBorders>
              <w:left w:val="outset" w:color="auto" w:sz="6" w:space="0"/>
              <w:right w:val="outset" w:color="auto" w:sz="6" w:space="0"/>
            </w:tcBorders>
            <w:noWrap w:val="0"/>
            <w:vAlign w:val="center"/>
          </w:tcPr>
          <w:p w14:paraId="6C721E58">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p>
        </w:tc>
        <w:tc>
          <w:tcPr>
            <w:tcW w:w="1980" w:type="dxa"/>
            <w:vMerge w:val="continue"/>
            <w:tcBorders>
              <w:left w:val="single" w:color="auto" w:sz="4" w:space="0"/>
              <w:right w:val="single" w:color="auto" w:sz="4" w:space="0"/>
            </w:tcBorders>
            <w:noWrap w:val="0"/>
            <w:vAlign w:val="center"/>
          </w:tcPr>
          <w:p w14:paraId="6F01437E">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p>
        </w:tc>
        <w:tc>
          <w:tcPr>
            <w:tcW w:w="1361" w:type="dxa"/>
            <w:tcBorders>
              <w:top w:val="single" w:color="auto" w:sz="4" w:space="0"/>
              <w:left w:val="single" w:color="auto" w:sz="4" w:space="0"/>
              <w:bottom w:val="single" w:color="auto" w:sz="4" w:space="0"/>
              <w:right w:val="single" w:color="auto" w:sz="4" w:space="0"/>
            </w:tcBorders>
            <w:noWrap w:val="0"/>
            <w:vAlign w:val="center"/>
          </w:tcPr>
          <w:p w14:paraId="50C84428">
            <w:pPr>
              <w:pageBreakBefore w:val="0"/>
              <w:kinsoku/>
              <w:wordWrap/>
              <w:overflowPunct/>
              <w:topLinePunct w:val="0"/>
              <w:autoSpaceDE w:val="0"/>
              <w:autoSpaceDN w:val="0"/>
              <w:bidi w:val="0"/>
              <w:snapToGrid/>
              <w:spacing w:line="360" w:lineRule="auto"/>
              <w:jc w:val="center"/>
              <w:textAlignment w:val="auto"/>
              <w:rPr>
                <w:rFonts w:hint="eastAsia" w:ascii="宋体" w:hAnsi="宋体" w:eastAsia="宋体" w:cs="宋体"/>
                <w:kern w:val="0"/>
                <w:szCs w:val="21"/>
                <w:lang w:val="en-US" w:eastAsia="zh-CN"/>
              </w:rPr>
            </w:pPr>
            <w:r>
              <w:rPr>
                <w:rFonts w:hint="eastAsia" w:ascii="宋体" w:hAnsi="宋体" w:eastAsia="宋体" w:cs="宋体"/>
                <w:kern w:val="0"/>
                <w:szCs w:val="21"/>
              </w:rPr>
              <w:t>人员</w:t>
            </w:r>
            <w:r>
              <w:rPr>
                <w:rFonts w:hint="eastAsia" w:ascii="宋体" w:hAnsi="宋体" w:eastAsia="宋体" w:cs="宋体"/>
                <w:kern w:val="0"/>
                <w:szCs w:val="21"/>
                <w:lang w:val="en-US" w:eastAsia="zh-CN"/>
              </w:rPr>
              <w:t>配备</w:t>
            </w:r>
          </w:p>
        </w:tc>
        <w:tc>
          <w:tcPr>
            <w:tcW w:w="4038" w:type="dxa"/>
            <w:tcBorders>
              <w:top w:val="outset" w:color="auto" w:sz="6" w:space="0"/>
              <w:left w:val="single" w:color="auto" w:sz="4" w:space="0"/>
              <w:bottom w:val="outset" w:color="auto" w:sz="6" w:space="0"/>
              <w:right w:val="outset" w:color="auto" w:sz="6" w:space="0"/>
            </w:tcBorders>
            <w:noWrap w:val="0"/>
            <w:vAlign w:val="center"/>
          </w:tcPr>
          <w:p w14:paraId="52AF8922">
            <w:pPr>
              <w:pageBreakBefore w:val="0"/>
              <w:widowControl/>
              <w:kinsoku/>
              <w:wordWrap/>
              <w:overflowPunct/>
              <w:topLinePunct w:val="0"/>
              <w:bidi w:val="0"/>
              <w:snapToGrid/>
              <w:spacing w:line="360" w:lineRule="auto"/>
              <w:jc w:val="left"/>
              <w:textAlignment w:val="auto"/>
              <w:rPr>
                <w:rFonts w:hint="eastAsia" w:ascii="宋体" w:hAnsi="宋体" w:eastAsia="宋体" w:cs="宋体"/>
              </w:rPr>
            </w:pPr>
            <w:r>
              <w:rPr>
                <w:rFonts w:hint="eastAsia" w:ascii="宋体" w:hAnsi="宋体" w:eastAsia="宋体" w:cs="宋体"/>
                <w:kern w:val="0"/>
                <w:szCs w:val="21"/>
              </w:rPr>
              <w:t>（1）实验室项目负责人有从事食品检测、化学、生物等相关专业的副高级(含)以上技术职称的，得</w:t>
            </w:r>
            <w:r>
              <w:rPr>
                <w:rFonts w:hint="eastAsia" w:ascii="宋体" w:hAnsi="宋体" w:eastAsia="宋体" w:cs="宋体"/>
                <w:kern w:val="0"/>
                <w:szCs w:val="21"/>
                <w:lang w:val="en-US" w:eastAsia="zh-CN"/>
              </w:rPr>
              <w:t>1</w:t>
            </w:r>
            <w:r>
              <w:rPr>
                <w:rFonts w:hint="eastAsia" w:ascii="宋体" w:hAnsi="宋体" w:eastAsia="宋体" w:cs="宋体"/>
                <w:kern w:val="0"/>
                <w:szCs w:val="21"/>
              </w:rPr>
              <w:t>分，最多得</w:t>
            </w:r>
            <w:r>
              <w:rPr>
                <w:rFonts w:hint="eastAsia" w:ascii="宋体" w:hAnsi="宋体" w:eastAsia="宋体" w:cs="宋体"/>
                <w:kern w:val="0"/>
                <w:szCs w:val="21"/>
                <w:lang w:val="en-US" w:eastAsia="zh-CN"/>
              </w:rPr>
              <w:t>1</w:t>
            </w:r>
            <w:r>
              <w:rPr>
                <w:rFonts w:hint="eastAsia" w:ascii="宋体" w:hAnsi="宋体" w:eastAsia="宋体" w:cs="宋体"/>
                <w:kern w:val="0"/>
                <w:szCs w:val="21"/>
              </w:rPr>
              <w:t>分。</w:t>
            </w:r>
            <w:r>
              <w:rPr>
                <w:rFonts w:hint="eastAsia" w:ascii="宋体" w:hAnsi="宋体" w:eastAsia="宋体" w:cs="宋体"/>
                <w:b/>
                <w:kern w:val="0"/>
                <w:szCs w:val="21"/>
              </w:rPr>
              <w:t>（提供</w:t>
            </w:r>
            <w:r>
              <w:rPr>
                <w:rFonts w:hint="eastAsia" w:ascii="宋体" w:hAnsi="宋体" w:eastAsia="宋体" w:cs="宋体"/>
                <w:b/>
                <w:kern w:val="0"/>
                <w:szCs w:val="21"/>
                <w:lang w:val="en-US" w:eastAsia="zh-CN"/>
              </w:rPr>
              <w:t>2025年01月01日至今任意一个月供应商为其</w:t>
            </w:r>
            <w:r>
              <w:rPr>
                <w:rFonts w:hint="eastAsia" w:ascii="宋体" w:hAnsi="宋体" w:eastAsia="宋体" w:cs="宋体"/>
                <w:b/>
                <w:kern w:val="0"/>
                <w:szCs w:val="21"/>
              </w:rPr>
              <w:t>社保缴纳凭证、职称证书原件扫描件并体现在响应文件中，否则不得分。）</w:t>
            </w:r>
          </w:p>
          <w:p w14:paraId="205BC4ED">
            <w:pPr>
              <w:pageBreakBefore w:val="0"/>
              <w:kinsoku/>
              <w:wordWrap/>
              <w:overflowPunct/>
              <w:topLinePunct w:val="0"/>
              <w:bidi w:val="0"/>
              <w:snapToGrid/>
              <w:spacing w:line="360" w:lineRule="auto"/>
              <w:jc w:val="left"/>
              <w:textAlignment w:val="auto"/>
              <w:rPr>
                <w:rFonts w:hint="eastAsia" w:ascii="宋体" w:hAnsi="宋体" w:eastAsia="宋体" w:cs="宋体"/>
                <w:b/>
                <w:kern w:val="0"/>
                <w:szCs w:val="21"/>
              </w:rPr>
            </w:pPr>
            <w:r>
              <w:rPr>
                <w:rFonts w:hint="eastAsia" w:ascii="宋体" w:hAnsi="宋体" w:eastAsia="宋体" w:cs="宋体"/>
                <w:color w:val="000000"/>
                <w:szCs w:val="21"/>
              </w:rPr>
              <w:t>（2）供应商针对本项目服务团队人员中具有区市级及以上市场监管部门认定的食品安全抽检监测专家，每1人得</w:t>
            </w:r>
            <w:r>
              <w:rPr>
                <w:rFonts w:hint="eastAsia" w:ascii="宋体" w:hAnsi="宋体" w:eastAsia="宋体" w:cs="宋体"/>
                <w:color w:val="000000"/>
                <w:szCs w:val="21"/>
                <w:lang w:val="en-US" w:eastAsia="zh-CN"/>
              </w:rPr>
              <w:t>1</w:t>
            </w:r>
            <w:r>
              <w:rPr>
                <w:rFonts w:hint="eastAsia" w:ascii="宋体" w:hAnsi="宋体" w:eastAsia="宋体" w:cs="宋体"/>
                <w:color w:val="000000"/>
                <w:szCs w:val="21"/>
              </w:rPr>
              <w:t>分</w:t>
            </w:r>
            <w:r>
              <w:rPr>
                <w:rFonts w:hint="eastAsia" w:ascii="宋体" w:hAnsi="宋体" w:eastAsia="宋体" w:cs="宋体"/>
                <w:color w:val="000000"/>
                <w:szCs w:val="21"/>
                <w:lang w:eastAsia="zh-CN"/>
              </w:rPr>
              <w:t>，</w:t>
            </w:r>
            <w:r>
              <w:rPr>
                <w:rFonts w:hint="eastAsia" w:ascii="宋体" w:hAnsi="宋体" w:eastAsia="宋体" w:cs="宋体"/>
                <w:color w:val="000000"/>
                <w:szCs w:val="21"/>
              </w:rPr>
              <w:t>最高得</w:t>
            </w:r>
            <w:r>
              <w:rPr>
                <w:rFonts w:hint="eastAsia" w:ascii="宋体" w:hAnsi="宋体" w:eastAsia="宋体" w:cs="宋体"/>
                <w:color w:val="000000"/>
                <w:szCs w:val="21"/>
                <w:lang w:val="en-US" w:eastAsia="zh-CN"/>
              </w:rPr>
              <w:t>4</w:t>
            </w:r>
            <w:r>
              <w:rPr>
                <w:rFonts w:hint="eastAsia" w:ascii="宋体" w:hAnsi="宋体" w:eastAsia="宋体" w:cs="宋体"/>
                <w:color w:val="000000"/>
                <w:szCs w:val="21"/>
              </w:rPr>
              <w:t>分</w:t>
            </w:r>
            <w:r>
              <w:rPr>
                <w:rFonts w:hint="eastAsia" w:ascii="宋体" w:hAnsi="宋体" w:eastAsia="宋体" w:cs="宋体"/>
                <w:kern w:val="0"/>
                <w:szCs w:val="21"/>
                <w:lang w:val="en-US" w:eastAsia="zh-CN"/>
              </w:rPr>
              <w:t>；</w:t>
            </w:r>
            <w:r>
              <w:rPr>
                <w:rFonts w:hint="eastAsia" w:ascii="宋体" w:hAnsi="宋体" w:eastAsia="宋体" w:cs="宋体"/>
                <w:b/>
                <w:kern w:val="0"/>
                <w:szCs w:val="21"/>
                <w:lang w:val="en-US" w:eastAsia="zh-CN"/>
              </w:rPr>
              <w:t>2025年01月01日至今任</w:t>
            </w:r>
            <w:r>
              <w:rPr>
                <w:rFonts w:hint="eastAsia" w:ascii="宋体" w:hAnsi="宋体" w:eastAsia="宋体" w:cs="宋体"/>
                <w:b/>
                <w:bCs w:val="0"/>
                <w:kern w:val="0"/>
                <w:szCs w:val="21"/>
                <w:lang w:val="en-US" w:eastAsia="zh-CN"/>
              </w:rPr>
              <w:t>意一个月</w:t>
            </w:r>
            <w:r>
              <w:rPr>
                <w:rFonts w:hint="eastAsia" w:ascii="宋体" w:hAnsi="宋体" w:eastAsia="宋体" w:cs="宋体"/>
                <w:b/>
                <w:bCs w:val="0"/>
                <w:color w:val="000000"/>
                <w:szCs w:val="21"/>
                <w:lang w:eastAsia="zh-CN"/>
              </w:rPr>
              <w:t>供应商</w:t>
            </w:r>
            <w:r>
              <w:rPr>
                <w:rFonts w:hint="eastAsia" w:ascii="宋体" w:hAnsi="宋体" w:eastAsia="宋体" w:cs="宋体"/>
                <w:b/>
                <w:bCs w:val="0"/>
                <w:color w:val="000000"/>
                <w:szCs w:val="21"/>
              </w:rPr>
              <w:t>为</w:t>
            </w:r>
            <w:r>
              <w:rPr>
                <w:rFonts w:hint="eastAsia" w:ascii="宋体" w:hAnsi="宋体" w:eastAsia="宋体" w:cs="宋体"/>
                <w:b/>
                <w:bCs w:val="0"/>
                <w:kern w:val="0"/>
                <w:szCs w:val="21"/>
                <w:lang w:val="en-US" w:eastAsia="zh-CN"/>
              </w:rPr>
              <w:t>其</w:t>
            </w:r>
            <w:r>
              <w:rPr>
                <w:rFonts w:hint="eastAsia" w:ascii="宋体" w:hAnsi="宋体" w:eastAsia="宋体" w:cs="宋体"/>
                <w:b/>
                <w:bCs w:val="0"/>
                <w:kern w:val="0"/>
                <w:szCs w:val="21"/>
              </w:rPr>
              <w:t>社保缴纳凭证</w:t>
            </w:r>
            <w:r>
              <w:rPr>
                <w:rFonts w:hint="eastAsia" w:ascii="宋体" w:hAnsi="宋体" w:eastAsia="宋体" w:cs="宋体"/>
                <w:b/>
                <w:bCs w:val="0"/>
                <w:color w:val="000000"/>
                <w:szCs w:val="21"/>
                <w:lang w:val="en-US" w:eastAsia="zh-CN"/>
              </w:rPr>
              <w:t>的</w:t>
            </w:r>
            <w:r>
              <w:rPr>
                <w:rFonts w:hint="eastAsia" w:ascii="宋体" w:hAnsi="宋体" w:eastAsia="宋体" w:cs="宋体"/>
                <w:b/>
                <w:bCs w:val="0"/>
                <w:color w:val="000000"/>
                <w:szCs w:val="21"/>
              </w:rPr>
              <w:t>证明材料</w:t>
            </w:r>
            <w:r>
              <w:rPr>
                <w:rFonts w:hint="eastAsia" w:ascii="宋体" w:hAnsi="宋体" w:eastAsia="宋体" w:cs="宋体"/>
                <w:color w:val="000000"/>
                <w:szCs w:val="21"/>
              </w:rPr>
              <w:t>）</w:t>
            </w:r>
          </w:p>
        </w:tc>
        <w:tc>
          <w:tcPr>
            <w:tcW w:w="668" w:type="dxa"/>
            <w:tcBorders>
              <w:top w:val="outset" w:color="auto" w:sz="6" w:space="0"/>
              <w:left w:val="single" w:color="auto" w:sz="4" w:space="0"/>
              <w:bottom w:val="outset" w:color="auto" w:sz="6" w:space="0"/>
              <w:right w:val="outset" w:color="auto" w:sz="6" w:space="0"/>
            </w:tcBorders>
            <w:noWrap w:val="0"/>
            <w:vAlign w:val="center"/>
          </w:tcPr>
          <w:p w14:paraId="62DA6A63">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lang w:val="en-US" w:eastAsia="zh-CN"/>
              </w:rPr>
              <w:t>5</w:t>
            </w:r>
            <w:r>
              <w:rPr>
                <w:rFonts w:hint="eastAsia" w:ascii="宋体" w:hAnsi="宋体" w:eastAsia="宋体" w:cs="宋体"/>
                <w:szCs w:val="21"/>
              </w:rPr>
              <w:t>分</w:t>
            </w:r>
          </w:p>
        </w:tc>
      </w:tr>
      <w:tr w14:paraId="615090C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11" w:hRule="atLeast"/>
        </w:trPr>
        <w:tc>
          <w:tcPr>
            <w:tcW w:w="778" w:type="dxa"/>
            <w:vMerge w:val="continue"/>
            <w:tcBorders>
              <w:left w:val="outset" w:color="auto" w:sz="6" w:space="0"/>
              <w:right w:val="outset" w:color="auto" w:sz="6" w:space="0"/>
            </w:tcBorders>
            <w:noWrap w:val="0"/>
            <w:vAlign w:val="center"/>
          </w:tcPr>
          <w:p w14:paraId="0271FEA3">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p>
        </w:tc>
        <w:tc>
          <w:tcPr>
            <w:tcW w:w="1980" w:type="dxa"/>
            <w:vMerge w:val="continue"/>
            <w:tcBorders>
              <w:left w:val="single" w:color="auto" w:sz="4" w:space="0"/>
              <w:right w:val="single" w:color="auto" w:sz="4" w:space="0"/>
            </w:tcBorders>
            <w:noWrap w:val="0"/>
            <w:vAlign w:val="center"/>
          </w:tcPr>
          <w:p w14:paraId="2FC90D6E">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p>
        </w:tc>
        <w:tc>
          <w:tcPr>
            <w:tcW w:w="1361" w:type="dxa"/>
            <w:tcBorders>
              <w:top w:val="single" w:color="auto" w:sz="4" w:space="0"/>
              <w:left w:val="single" w:color="auto" w:sz="4" w:space="0"/>
              <w:bottom w:val="single" w:color="auto" w:sz="4" w:space="0"/>
              <w:right w:val="single" w:color="auto" w:sz="4" w:space="0"/>
            </w:tcBorders>
            <w:noWrap w:val="0"/>
            <w:vAlign w:val="center"/>
          </w:tcPr>
          <w:p w14:paraId="4A350FE3">
            <w:pPr>
              <w:pageBreakBefore w:val="0"/>
              <w:kinsoku/>
              <w:wordWrap/>
              <w:overflowPunct/>
              <w:topLinePunct w:val="0"/>
              <w:autoSpaceDE w:val="0"/>
              <w:autoSpaceDN w:val="0"/>
              <w:bidi w:val="0"/>
              <w:snapToGrid/>
              <w:spacing w:line="360" w:lineRule="auto"/>
              <w:jc w:val="center"/>
              <w:textAlignment w:val="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响应时间</w:t>
            </w:r>
          </w:p>
        </w:tc>
        <w:tc>
          <w:tcPr>
            <w:tcW w:w="4038" w:type="dxa"/>
            <w:tcBorders>
              <w:top w:val="outset" w:color="auto" w:sz="6" w:space="0"/>
              <w:left w:val="single" w:color="auto" w:sz="4" w:space="0"/>
              <w:bottom w:val="outset" w:color="auto" w:sz="6" w:space="0"/>
              <w:right w:val="outset" w:color="auto" w:sz="6" w:space="0"/>
            </w:tcBorders>
            <w:noWrap w:val="0"/>
            <w:vAlign w:val="center"/>
          </w:tcPr>
          <w:p w14:paraId="1A1A5B32">
            <w:pPr>
              <w:pStyle w:val="6"/>
              <w:spacing w:line="278" w:lineRule="auto"/>
              <w:ind w:left="5" w:right="-15"/>
              <w:rPr>
                <w:rFonts w:hint="eastAsia"/>
                <w:kern w:val="2"/>
                <w:sz w:val="21"/>
                <w:szCs w:val="22"/>
                <w:lang w:eastAsia="zh-CN"/>
              </w:rPr>
            </w:pPr>
            <w:r>
              <w:rPr>
                <w:rFonts w:hint="eastAsia"/>
                <w:kern w:val="2"/>
                <w:sz w:val="21"/>
                <w:szCs w:val="22"/>
                <w:lang w:eastAsia="zh-CN"/>
              </w:rPr>
              <w:t>投标人接到采购人通知后机动车响应时间（从检验地址到采购单位）：</w:t>
            </w:r>
          </w:p>
          <w:p w14:paraId="4E6B3988">
            <w:pPr>
              <w:pStyle w:val="6"/>
              <w:spacing w:line="278" w:lineRule="auto"/>
              <w:ind w:left="5" w:right="-15"/>
              <w:rPr>
                <w:rFonts w:hint="eastAsia"/>
                <w:kern w:val="2"/>
                <w:sz w:val="21"/>
                <w:szCs w:val="22"/>
                <w:lang w:eastAsia="zh-CN"/>
              </w:rPr>
            </w:pPr>
            <w:r>
              <w:rPr>
                <w:rFonts w:hint="eastAsia"/>
                <w:kern w:val="2"/>
                <w:sz w:val="21"/>
                <w:szCs w:val="22"/>
                <w:lang w:eastAsia="zh-CN"/>
              </w:rPr>
              <w:t>（1）投标人承诺响应时间3.5小时（含）以内的得</w:t>
            </w:r>
            <w:r>
              <w:rPr>
                <w:rFonts w:hint="eastAsia"/>
                <w:kern w:val="2"/>
                <w:sz w:val="21"/>
                <w:szCs w:val="22"/>
                <w:lang w:val="en-US" w:eastAsia="zh-CN"/>
              </w:rPr>
              <w:t>5</w:t>
            </w:r>
            <w:r>
              <w:rPr>
                <w:rFonts w:hint="eastAsia"/>
                <w:kern w:val="2"/>
                <w:sz w:val="21"/>
                <w:szCs w:val="22"/>
                <w:lang w:eastAsia="zh-CN"/>
              </w:rPr>
              <w:t>分；</w:t>
            </w:r>
          </w:p>
          <w:p w14:paraId="7FDEF4FA">
            <w:pPr>
              <w:pStyle w:val="6"/>
              <w:spacing w:line="278" w:lineRule="auto"/>
              <w:ind w:left="5" w:right="-15"/>
              <w:rPr>
                <w:rFonts w:hint="eastAsia"/>
                <w:kern w:val="2"/>
                <w:sz w:val="21"/>
                <w:szCs w:val="22"/>
                <w:lang w:eastAsia="zh-CN"/>
              </w:rPr>
            </w:pPr>
            <w:r>
              <w:rPr>
                <w:rFonts w:hint="eastAsia"/>
                <w:kern w:val="2"/>
                <w:sz w:val="21"/>
                <w:szCs w:val="22"/>
                <w:lang w:eastAsia="zh-CN"/>
              </w:rPr>
              <w:t>（2）投标人承诺响应时间3.5小时（不含）至4小时（含）的得</w:t>
            </w:r>
            <w:r>
              <w:rPr>
                <w:rFonts w:hint="eastAsia"/>
                <w:kern w:val="2"/>
                <w:sz w:val="21"/>
                <w:szCs w:val="22"/>
                <w:lang w:val="en-US" w:eastAsia="zh-CN"/>
              </w:rPr>
              <w:t>4</w:t>
            </w:r>
            <w:r>
              <w:rPr>
                <w:rFonts w:hint="eastAsia"/>
                <w:kern w:val="2"/>
                <w:sz w:val="21"/>
                <w:szCs w:val="22"/>
                <w:lang w:eastAsia="zh-CN"/>
              </w:rPr>
              <w:t>分；</w:t>
            </w:r>
          </w:p>
          <w:p w14:paraId="14016BFA">
            <w:pPr>
              <w:pStyle w:val="6"/>
              <w:spacing w:line="278" w:lineRule="auto"/>
              <w:ind w:left="5" w:right="-15"/>
              <w:rPr>
                <w:rFonts w:hint="eastAsia"/>
                <w:kern w:val="2"/>
                <w:sz w:val="21"/>
                <w:szCs w:val="22"/>
                <w:lang w:eastAsia="zh-CN"/>
              </w:rPr>
            </w:pPr>
            <w:r>
              <w:rPr>
                <w:rFonts w:hint="eastAsia"/>
                <w:kern w:val="2"/>
                <w:sz w:val="21"/>
                <w:szCs w:val="22"/>
                <w:lang w:eastAsia="zh-CN"/>
              </w:rPr>
              <w:t>（3）投标人承诺响应时间4小时（不含）至4.5小时（含）的得</w:t>
            </w:r>
            <w:r>
              <w:rPr>
                <w:rFonts w:hint="eastAsia"/>
                <w:kern w:val="2"/>
                <w:sz w:val="21"/>
                <w:szCs w:val="22"/>
                <w:lang w:val="en-US" w:eastAsia="zh-CN"/>
              </w:rPr>
              <w:t>3</w:t>
            </w:r>
            <w:r>
              <w:rPr>
                <w:rFonts w:hint="eastAsia"/>
                <w:kern w:val="2"/>
                <w:sz w:val="21"/>
                <w:szCs w:val="22"/>
                <w:lang w:eastAsia="zh-CN"/>
              </w:rPr>
              <w:t>分；</w:t>
            </w:r>
          </w:p>
          <w:p w14:paraId="74BAB867">
            <w:pPr>
              <w:pStyle w:val="6"/>
              <w:spacing w:line="278" w:lineRule="auto"/>
              <w:ind w:left="5" w:right="-15"/>
              <w:rPr>
                <w:rFonts w:hint="eastAsia"/>
                <w:kern w:val="2"/>
                <w:sz w:val="21"/>
                <w:szCs w:val="22"/>
                <w:lang w:eastAsia="zh-CN"/>
              </w:rPr>
            </w:pPr>
            <w:r>
              <w:rPr>
                <w:rFonts w:hint="eastAsia"/>
                <w:kern w:val="2"/>
                <w:sz w:val="21"/>
                <w:szCs w:val="22"/>
                <w:lang w:eastAsia="zh-CN"/>
              </w:rPr>
              <w:t>（4）投标人承诺响应时间超过4.5小时的不得分。</w:t>
            </w:r>
          </w:p>
          <w:p w14:paraId="2757CB47">
            <w:pPr>
              <w:pStyle w:val="6"/>
              <w:spacing w:line="278" w:lineRule="auto"/>
              <w:ind w:left="5" w:right="-15"/>
              <w:rPr>
                <w:rFonts w:hint="eastAsia"/>
                <w:kern w:val="2"/>
                <w:sz w:val="21"/>
                <w:szCs w:val="22"/>
                <w:lang w:eastAsia="zh-CN"/>
              </w:rPr>
            </w:pPr>
            <w:r>
              <w:rPr>
                <w:rFonts w:hint="eastAsia"/>
                <w:kern w:val="2"/>
                <w:sz w:val="21"/>
                <w:szCs w:val="22"/>
                <w:lang w:eastAsia="zh-CN"/>
              </w:rPr>
              <w:t>本项最高得</w:t>
            </w:r>
            <w:r>
              <w:rPr>
                <w:rFonts w:hint="eastAsia"/>
                <w:kern w:val="2"/>
                <w:sz w:val="21"/>
                <w:szCs w:val="22"/>
                <w:lang w:val="en-US" w:eastAsia="zh-CN"/>
              </w:rPr>
              <w:t>5</w:t>
            </w:r>
            <w:r>
              <w:rPr>
                <w:rFonts w:hint="eastAsia"/>
                <w:kern w:val="2"/>
                <w:sz w:val="21"/>
                <w:szCs w:val="22"/>
                <w:lang w:eastAsia="zh-CN"/>
              </w:rPr>
              <w:t>分。</w:t>
            </w:r>
          </w:p>
          <w:p w14:paraId="14A5F3EB">
            <w:pPr>
              <w:pageBreakBefore w:val="0"/>
              <w:kinsoku/>
              <w:wordWrap/>
              <w:overflowPunct/>
              <w:topLinePunct w:val="0"/>
              <w:bidi w:val="0"/>
              <w:snapToGrid/>
              <w:spacing w:line="360" w:lineRule="auto"/>
              <w:jc w:val="left"/>
              <w:textAlignment w:val="auto"/>
              <w:rPr>
                <w:rFonts w:hint="eastAsia" w:ascii="宋体" w:hAnsi="宋体" w:eastAsia="宋体" w:cs="宋体"/>
                <w:color w:val="000000"/>
                <w:szCs w:val="21"/>
              </w:rPr>
            </w:pPr>
            <w:r>
              <w:rPr>
                <w:rFonts w:hint="eastAsia"/>
                <w:kern w:val="2"/>
                <w:sz w:val="21"/>
                <w:szCs w:val="22"/>
                <w:lang w:eastAsia="zh-CN"/>
              </w:rPr>
              <w:t>（投标文件提供承诺函并加盖投标人公章，否则不得分，承诺函格式自拟）</w:t>
            </w:r>
          </w:p>
        </w:tc>
        <w:tc>
          <w:tcPr>
            <w:tcW w:w="668" w:type="dxa"/>
            <w:tcBorders>
              <w:top w:val="outset" w:color="auto" w:sz="6" w:space="0"/>
              <w:left w:val="single" w:color="auto" w:sz="4" w:space="0"/>
              <w:bottom w:val="outset" w:color="auto" w:sz="6" w:space="0"/>
              <w:right w:val="outset" w:color="auto" w:sz="6" w:space="0"/>
            </w:tcBorders>
            <w:noWrap w:val="0"/>
            <w:vAlign w:val="center"/>
          </w:tcPr>
          <w:p w14:paraId="04405458">
            <w:pPr>
              <w:pageBreakBefore w:val="0"/>
              <w:kinsoku/>
              <w:wordWrap/>
              <w:overflowPunct/>
              <w:topLinePunct w:val="0"/>
              <w:bidi w:val="0"/>
              <w:snapToGrid/>
              <w:spacing w:line="360" w:lineRule="auto"/>
              <w:jc w:val="center"/>
              <w:textAlignment w:val="auto"/>
              <w:rPr>
                <w:rFonts w:hint="default" w:ascii="宋体" w:hAnsi="宋体" w:eastAsia="宋体" w:cs="宋体"/>
                <w:szCs w:val="21"/>
                <w:lang w:val="en-US" w:eastAsia="zh-CN"/>
              </w:rPr>
            </w:pPr>
            <w:r>
              <w:rPr>
                <w:rFonts w:hint="eastAsia" w:ascii="宋体" w:hAnsi="宋体" w:eastAsia="宋体" w:cs="宋体"/>
                <w:szCs w:val="21"/>
                <w:lang w:val="en-US" w:eastAsia="zh-CN"/>
              </w:rPr>
              <w:t>5分</w:t>
            </w:r>
          </w:p>
        </w:tc>
      </w:tr>
      <w:tr w14:paraId="7D1347A6">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68" w:hRule="atLeast"/>
        </w:trPr>
        <w:tc>
          <w:tcPr>
            <w:tcW w:w="778" w:type="dxa"/>
            <w:vMerge w:val="continue"/>
            <w:tcBorders>
              <w:left w:val="outset" w:color="auto" w:sz="6" w:space="0"/>
              <w:right w:val="outset" w:color="auto" w:sz="6" w:space="0"/>
            </w:tcBorders>
            <w:noWrap w:val="0"/>
            <w:vAlign w:val="center"/>
          </w:tcPr>
          <w:p w14:paraId="77F3E86D">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p>
        </w:tc>
        <w:tc>
          <w:tcPr>
            <w:tcW w:w="1980" w:type="dxa"/>
            <w:vMerge w:val="restart"/>
            <w:tcBorders>
              <w:top w:val="single" w:color="auto" w:sz="4" w:space="0"/>
              <w:left w:val="single" w:color="auto" w:sz="4" w:space="0"/>
              <w:right w:val="single" w:color="auto" w:sz="4" w:space="0"/>
            </w:tcBorders>
            <w:noWrap w:val="0"/>
            <w:vAlign w:val="center"/>
          </w:tcPr>
          <w:p w14:paraId="57A3DE49">
            <w:pPr>
              <w:pageBreakBefore w:val="0"/>
              <w:kinsoku/>
              <w:wordWrap/>
              <w:overflowPunct/>
              <w:topLinePunct w:val="0"/>
              <w:bidi w:val="0"/>
              <w:snapToGrid/>
              <w:spacing w:line="360" w:lineRule="auto"/>
              <w:jc w:val="center"/>
              <w:textAlignment w:val="auto"/>
              <w:rPr>
                <w:rFonts w:hint="eastAsia" w:ascii="宋体" w:hAnsi="宋体" w:eastAsia="宋体" w:cs="宋体"/>
                <w:bCs/>
                <w:color w:val="000000"/>
                <w:szCs w:val="21"/>
              </w:rPr>
            </w:pPr>
            <w:r>
              <w:rPr>
                <w:rFonts w:hint="eastAsia" w:ascii="宋体" w:hAnsi="宋体" w:eastAsia="宋体" w:cs="宋体"/>
                <w:bCs/>
                <w:color w:val="000000"/>
                <w:szCs w:val="21"/>
              </w:rPr>
              <w:t>技术部分</w:t>
            </w:r>
          </w:p>
          <w:p w14:paraId="306FA617">
            <w:pPr>
              <w:pageBreakBefore w:val="0"/>
              <w:kinsoku/>
              <w:wordWrap/>
              <w:overflowPunct/>
              <w:topLinePunct w:val="0"/>
              <w:bidi w:val="0"/>
              <w:snapToGrid/>
              <w:spacing w:line="360" w:lineRule="auto"/>
              <w:jc w:val="center"/>
              <w:textAlignment w:val="auto"/>
              <w:rPr>
                <w:rFonts w:hint="eastAsia" w:ascii="宋体" w:hAnsi="宋体" w:eastAsia="宋体" w:cs="宋体"/>
              </w:rPr>
            </w:pPr>
            <w:r>
              <w:rPr>
                <w:rFonts w:hint="eastAsia" w:ascii="宋体" w:hAnsi="宋体" w:eastAsia="宋体" w:cs="宋体"/>
              </w:rPr>
              <w:t>（40分）</w:t>
            </w:r>
          </w:p>
        </w:tc>
        <w:tc>
          <w:tcPr>
            <w:tcW w:w="1361" w:type="dxa"/>
            <w:tcBorders>
              <w:top w:val="single" w:color="auto" w:sz="4" w:space="0"/>
              <w:left w:val="single" w:color="auto" w:sz="4" w:space="0"/>
              <w:bottom w:val="single" w:color="auto" w:sz="4" w:space="0"/>
              <w:right w:val="outset" w:color="auto" w:sz="6" w:space="0"/>
            </w:tcBorders>
            <w:noWrap w:val="0"/>
            <w:vAlign w:val="center"/>
          </w:tcPr>
          <w:p w14:paraId="1490FA42">
            <w:pPr>
              <w:pageBreakBefore w:val="0"/>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spacing w:val="-15"/>
                <w:szCs w:val="21"/>
              </w:rPr>
              <w:t>服务方案</w:t>
            </w:r>
          </w:p>
        </w:tc>
        <w:tc>
          <w:tcPr>
            <w:tcW w:w="4038" w:type="dxa"/>
            <w:tcBorders>
              <w:top w:val="single" w:color="auto" w:sz="4" w:space="0"/>
              <w:left w:val="single" w:color="auto" w:sz="4" w:space="0"/>
              <w:bottom w:val="single" w:color="auto" w:sz="4" w:space="0"/>
              <w:right w:val="single" w:color="auto" w:sz="4" w:space="0"/>
            </w:tcBorders>
            <w:noWrap w:val="0"/>
            <w:vAlign w:val="top"/>
          </w:tcPr>
          <w:p w14:paraId="15566249">
            <w:pPr>
              <w:pageBreakBefore w:val="0"/>
              <w:kinsoku/>
              <w:wordWrap/>
              <w:overflowPunct/>
              <w:topLinePunct w:val="0"/>
              <w:bidi w:val="0"/>
              <w:snapToGrid/>
              <w:spacing w:line="360" w:lineRule="auto"/>
              <w:textAlignment w:val="auto"/>
              <w:rPr>
                <w:rFonts w:hint="eastAsia" w:ascii="宋体" w:hAnsi="宋体" w:eastAsia="宋体" w:cs="宋体"/>
                <w:bCs/>
                <w:szCs w:val="21"/>
              </w:rPr>
            </w:pPr>
            <w:r>
              <w:rPr>
                <w:rFonts w:hint="eastAsia" w:ascii="宋体" w:hAnsi="宋体" w:eastAsia="宋体" w:cs="宋体"/>
                <w:bCs/>
                <w:szCs w:val="21"/>
                <w:lang w:eastAsia="zh-CN"/>
              </w:rPr>
              <w:t>供应商</w:t>
            </w:r>
            <w:r>
              <w:rPr>
                <w:rFonts w:hint="eastAsia" w:ascii="宋体" w:hAnsi="宋体" w:eastAsia="宋体" w:cs="宋体"/>
                <w:bCs/>
                <w:szCs w:val="21"/>
              </w:rPr>
              <w:t>根据本项目实际需求编制服务方案，</w:t>
            </w:r>
            <w:r>
              <w:rPr>
                <w:rFonts w:hint="eastAsia" w:ascii="宋体" w:hAnsi="宋体" w:eastAsia="宋体" w:cs="宋体"/>
                <w:szCs w:val="21"/>
              </w:rPr>
              <w:t>应包括</w:t>
            </w:r>
            <w:r>
              <w:rPr>
                <w:rFonts w:hint="eastAsia" w:ascii="宋体" w:hAnsi="宋体" w:eastAsia="宋体" w:cs="宋体"/>
                <w:bCs/>
                <w:szCs w:val="21"/>
              </w:rPr>
              <w:t>但不限于综合保障服务方案、采样流程方案、检验流程方案、明确的服务承诺（如响应速度承诺等）等内容：</w:t>
            </w:r>
          </w:p>
          <w:p w14:paraId="3863AE7B">
            <w:pPr>
              <w:pageBreakBefore w:val="0"/>
              <w:kinsoku/>
              <w:wordWrap/>
              <w:overflowPunct/>
              <w:topLinePunct w:val="0"/>
              <w:bidi w:val="0"/>
              <w:snapToGrid/>
              <w:spacing w:line="360" w:lineRule="auto"/>
              <w:textAlignment w:val="auto"/>
              <w:rPr>
                <w:rFonts w:hint="eastAsia" w:ascii="宋体" w:hAnsi="宋体" w:eastAsia="宋体" w:cs="宋体"/>
                <w:bCs/>
                <w:szCs w:val="21"/>
              </w:rPr>
            </w:pPr>
            <w:r>
              <w:rPr>
                <w:rFonts w:hint="eastAsia" w:ascii="宋体" w:hAnsi="宋体" w:eastAsia="宋体" w:cs="宋体"/>
                <w:bCs/>
                <w:szCs w:val="21"/>
              </w:rPr>
              <w:t>方案内容全面、流程科学合理、服务承诺周全、落实措施齐全，得10分；</w:t>
            </w:r>
          </w:p>
          <w:p w14:paraId="18C799D6">
            <w:pPr>
              <w:pageBreakBefore w:val="0"/>
              <w:kinsoku/>
              <w:wordWrap/>
              <w:overflowPunct/>
              <w:topLinePunct w:val="0"/>
              <w:bidi w:val="0"/>
              <w:snapToGrid/>
              <w:spacing w:line="360" w:lineRule="auto"/>
              <w:textAlignment w:val="auto"/>
              <w:rPr>
                <w:rFonts w:hint="eastAsia" w:ascii="宋体" w:hAnsi="宋体" w:eastAsia="宋体" w:cs="宋体"/>
                <w:bCs/>
                <w:szCs w:val="21"/>
              </w:rPr>
            </w:pPr>
            <w:r>
              <w:rPr>
                <w:rFonts w:hint="eastAsia" w:ascii="宋体" w:hAnsi="宋体" w:eastAsia="宋体" w:cs="宋体"/>
                <w:bCs/>
                <w:szCs w:val="21"/>
              </w:rPr>
              <w:t>方案内容较全面、流程较科学合理、服务承诺较齐全，得8分；</w:t>
            </w:r>
          </w:p>
          <w:p w14:paraId="72FDF97B">
            <w:pPr>
              <w:pageBreakBefore w:val="0"/>
              <w:kinsoku/>
              <w:wordWrap/>
              <w:overflowPunct/>
              <w:topLinePunct w:val="0"/>
              <w:bidi w:val="0"/>
              <w:snapToGrid/>
              <w:spacing w:line="360" w:lineRule="auto"/>
              <w:textAlignment w:val="auto"/>
              <w:rPr>
                <w:rFonts w:hint="eastAsia" w:ascii="宋体" w:hAnsi="宋体" w:eastAsia="宋体" w:cs="宋体"/>
                <w:bCs/>
                <w:szCs w:val="21"/>
              </w:rPr>
            </w:pPr>
            <w:r>
              <w:rPr>
                <w:rFonts w:hint="eastAsia" w:ascii="宋体" w:hAnsi="宋体" w:eastAsia="宋体" w:cs="宋体"/>
                <w:bCs/>
                <w:szCs w:val="21"/>
              </w:rPr>
              <w:t>方案内容一般、流程一般、服务承诺一般，得6分；</w:t>
            </w:r>
          </w:p>
          <w:p w14:paraId="2FB6791C">
            <w:pPr>
              <w:pageBreakBefore w:val="0"/>
              <w:kinsoku/>
              <w:wordWrap/>
              <w:overflowPunct/>
              <w:topLinePunct w:val="0"/>
              <w:bidi w:val="0"/>
              <w:snapToGrid/>
              <w:spacing w:line="360" w:lineRule="auto"/>
              <w:textAlignment w:val="auto"/>
              <w:rPr>
                <w:rFonts w:hint="eastAsia" w:ascii="宋体" w:hAnsi="宋体" w:eastAsia="宋体" w:cs="宋体"/>
                <w:bCs/>
                <w:szCs w:val="21"/>
              </w:rPr>
            </w:pPr>
            <w:r>
              <w:rPr>
                <w:rFonts w:hint="eastAsia" w:ascii="宋体" w:hAnsi="宋体" w:eastAsia="宋体" w:cs="宋体"/>
                <w:bCs/>
                <w:szCs w:val="21"/>
              </w:rPr>
              <w:t>方案内容欠缺、流程不流畅、服务承诺欠缺，得4分；</w:t>
            </w:r>
          </w:p>
          <w:p w14:paraId="14E4D265">
            <w:pPr>
              <w:pageBreakBefore w:val="0"/>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bidi w:val="0"/>
              <w:snapToGrid/>
              <w:spacing w:line="360" w:lineRule="auto"/>
              <w:jc w:val="left"/>
              <w:textAlignment w:val="auto"/>
              <w:rPr>
                <w:rFonts w:hint="eastAsia" w:ascii="宋体" w:hAnsi="宋体" w:eastAsia="宋体" w:cs="宋体"/>
                <w:szCs w:val="21"/>
                <w:lang w:val="zh-CN"/>
              </w:rPr>
            </w:pPr>
            <w:r>
              <w:rPr>
                <w:rFonts w:hint="eastAsia" w:ascii="宋体" w:hAnsi="宋体" w:eastAsia="宋体" w:cs="宋体"/>
                <w:szCs w:val="21"/>
              </w:rPr>
              <w:t>未提供实施方案的不得分。</w:t>
            </w:r>
          </w:p>
        </w:tc>
        <w:tc>
          <w:tcPr>
            <w:tcW w:w="668" w:type="dxa"/>
            <w:tcBorders>
              <w:top w:val="single" w:color="auto" w:sz="4" w:space="0"/>
              <w:left w:val="dotted" w:color="auto" w:sz="4" w:space="0"/>
              <w:bottom w:val="single" w:color="auto" w:sz="4" w:space="0"/>
              <w:right w:val="single" w:color="auto" w:sz="4" w:space="0"/>
            </w:tcBorders>
            <w:noWrap w:val="0"/>
            <w:vAlign w:val="center"/>
          </w:tcPr>
          <w:p w14:paraId="33E086B5">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rPr>
              <w:t>10分</w:t>
            </w:r>
          </w:p>
        </w:tc>
      </w:tr>
      <w:tr w14:paraId="57CA1BA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68" w:hRule="atLeast"/>
        </w:trPr>
        <w:tc>
          <w:tcPr>
            <w:tcW w:w="778" w:type="dxa"/>
            <w:vMerge w:val="continue"/>
            <w:tcBorders>
              <w:left w:val="outset" w:color="auto" w:sz="6" w:space="0"/>
              <w:right w:val="outset" w:color="auto" w:sz="6" w:space="0"/>
            </w:tcBorders>
            <w:noWrap w:val="0"/>
            <w:vAlign w:val="center"/>
          </w:tcPr>
          <w:p w14:paraId="5858120E">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p>
        </w:tc>
        <w:tc>
          <w:tcPr>
            <w:tcW w:w="1980" w:type="dxa"/>
            <w:vMerge w:val="continue"/>
            <w:tcBorders>
              <w:top w:val="single" w:color="auto" w:sz="4" w:space="0"/>
              <w:left w:val="single" w:color="auto" w:sz="4" w:space="0"/>
              <w:right w:val="single" w:color="auto" w:sz="4" w:space="0"/>
            </w:tcBorders>
            <w:noWrap w:val="0"/>
            <w:vAlign w:val="center"/>
          </w:tcPr>
          <w:p w14:paraId="66C302FD">
            <w:pPr>
              <w:pageBreakBefore w:val="0"/>
              <w:kinsoku/>
              <w:wordWrap/>
              <w:overflowPunct/>
              <w:topLinePunct w:val="0"/>
              <w:bidi w:val="0"/>
              <w:snapToGrid/>
              <w:spacing w:line="360" w:lineRule="auto"/>
              <w:jc w:val="center"/>
              <w:textAlignment w:val="auto"/>
              <w:rPr>
                <w:rFonts w:hint="eastAsia" w:ascii="宋体" w:hAnsi="宋体" w:eastAsia="宋体" w:cs="宋体"/>
                <w:bCs/>
                <w:color w:val="000000"/>
                <w:szCs w:val="21"/>
              </w:rPr>
            </w:pPr>
          </w:p>
        </w:tc>
        <w:tc>
          <w:tcPr>
            <w:tcW w:w="1361" w:type="dxa"/>
            <w:tcBorders>
              <w:top w:val="single" w:color="auto" w:sz="4" w:space="0"/>
              <w:left w:val="single" w:color="auto" w:sz="4" w:space="0"/>
              <w:bottom w:val="single" w:color="auto" w:sz="4" w:space="0"/>
              <w:right w:val="outset" w:color="auto" w:sz="6" w:space="0"/>
            </w:tcBorders>
            <w:noWrap w:val="0"/>
            <w:vAlign w:val="center"/>
          </w:tcPr>
          <w:p w14:paraId="77A616FC">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bCs/>
                <w:szCs w:val="21"/>
              </w:rPr>
              <w:t>质量控制方案</w:t>
            </w:r>
          </w:p>
        </w:tc>
        <w:tc>
          <w:tcPr>
            <w:tcW w:w="4038" w:type="dxa"/>
            <w:tcBorders>
              <w:top w:val="single" w:color="auto" w:sz="4" w:space="0"/>
              <w:left w:val="single" w:color="auto" w:sz="4" w:space="0"/>
              <w:bottom w:val="single" w:color="auto" w:sz="4" w:space="0"/>
              <w:right w:val="single" w:color="auto" w:sz="4" w:space="0"/>
            </w:tcBorders>
            <w:noWrap w:val="0"/>
            <w:vAlign w:val="top"/>
          </w:tcPr>
          <w:p w14:paraId="67035FC0">
            <w:pPr>
              <w:pageBreakBefore w:val="0"/>
              <w:kinsoku/>
              <w:wordWrap/>
              <w:overflowPunct/>
              <w:topLinePunct w:val="0"/>
              <w:bidi w:val="0"/>
              <w:snapToGrid/>
              <w:spacing w:before="10" w:after="10" w:line="360" w:lineRule="auto"/>
              <w:textAlignment w:val="auto"/>
              <w:rPr>
                <w:rFonts w:hint="eastAsia" w:ascii="宋体" w:hAnsi="宋体" w:eastAsia="宋体" w:cs="宋体"/>
                <w:szCs w:val="21"/>
              </w:rPr>
            </w:pPr>
            <w:r>
              <w:rPr>
                <w:rFonts w:hint="eastAsia" w:ascii="宋体" w:hAnsi="宋体" w:eastAsia="宋体" w:cs="宋体"/>
                <w:bCs/>
                <w:szCs w:val="21"/>
                <w:lang w:eastAsia="zh-CN"/>
              </w:rPr>
              <w:t>供应商</w:t>
            </w:r>
            <w:r>
              <w:rPr>
                <w:rFonts w:hint="eastAsia" w:ascii="宋体" w:hAnsi="宋体" w:eastAsia="宋体" w:cs="宋体"/>
                <w:bCs/>
                <w:szCs w:val="21"/>
              </w:rPr>
              <w:t>根据本项目实际需求编制</w:t>
            </w:r>
            <w:r>
              <w:rPr>
                <w:rFonts w:hint="eastAsia" w:ascii="宋体" w:hAnsi="宋体" w:eastAsia="宋体" w:cs="宋体"/>
                <w:szCs w:val="21"/>
              </w:rPr>
              <w:t>质量控制方案，应包括但不限于抽样、运输、检验、复核、报告签署等各环节内容，明确各岗位业务操作规范和操作流程，对应的质量控制措施详细有效，能够保障整个服务工作的质量。</w:t>
            </w:r>
          </w:p>
          <w:p w14:paraId="653A0D55">
            <w:pPr>
              <w:pageBreakBefore w:val="0"/>
              <w:kinsoku/>
              <w:wordWrap/>
              <w:overflowPunct/>
              <w:topLinePunct w:val="0"/>
              <w:bidi w:val="0"/>
              <w:snapToGrid/>
              <w:spacing w:before="10" w:after="10" w:line="360" w:lineRule="auto"/>
              <w:textAlignment w:val="auto"/>
              <w:rPr>
                <w:rFonts w:hint="eastAsia" w:ascii="宋体" w:hAnsi="宋体" w:eastAsia="宋体" w:cs="宋体"/>
                <w:szCs w:val="21"/>
              </w:rPr>
            </w:pPr>
            <w:r>
              <w:rPr>
                <w:rFonts w:hint="eastAsia" w:ascii="宋体" w:hAnsi="宋体" w:eastAsia="宋体" w:cs="宋体"/>
                <w:szCs w:val="21"/>
              </w:rPr>
              <w:t>方案科学合理，可操作性高，优于采购需求的得10分；</w:t>
            </w:r>
          </w:p>
          <w:p w14:paraId="34BC9725">
            <w:pPr>
              <w:pageBreakBefore w:val="0"/>
              <w:kinsoku/>
              <w:wordWrap/>
              <w:overflowPunct/>
              <w:topLinePunct w:val="0"/>
              <w:bidi w:val="0"/>
              <w:snapToGrid/>
              <w:spacing w:before="10" w:after="10" w:line="360" w:lineRule="auto"/>
              <w:textAlignment w:val="auto"/>
              <w:rPr>
                <w:rFonts w:hint="eastAsia" w:ascii="宋体" w:hAnsi="宋体" w:eastAsia="宋体" w:cs="宋体"/>
                <w:szCs w:val="21"/>
              </w:rPr>
            </w:pPr>
            <w:r>
              <w:rPr>
                <w:rFonts w:hint="eastAsia" w:ascii="宋体" w:hAnsi="宋体" w:eastAsia="宋体" w:cs="宋体"/>
                <w:szCs w:val="21"/>
              </w:rPr>
              <w:t>方案较科学合理，可操作性较高，符合采购需求的得8分；</w:t>
            </w:r>
          </w:p>
          <w:p w14:paraId="459128C4">
            <w:pPr>
              <w:pageBreakBefore w:val="0"/>
              <w:kinsoku/>
              <w:wordWrap/>
              <w:overflowPunct/>
              <w:topLinePunct w:val="0"/>
              <w:bidi w:val="0"/>
              <w:snapToGrid/>
              <w:spacing w:before="10" w:after="10" w:line="360" w:lineRule="auto"/>
              <w:textAlignment w:val="auto"/>
              <w:rPr>
                <w:rFonts w:hint="eastAsia" w:ascii="宋体" w:hAnsi="宋体" w:eastAsia="宋体" w:cs="宋体"/>
                <w:szCs w:val="21"/>
              </w:rPr>
            </w:pPr>
            <w:r>
              <w:rPr>
                <w:rFonts w:hint="eastAsia" w:ascii="宋体" w:hAnsi="宋体" w:eastAsia="宋体" w:cs="宋体"/>
                <w:szCs w:val="21"/>
              </w:rPr>
              <w:t>方案一般，可操作性一般，基本符合采购需求的得6分；</w:t>
            </w:r>
          </w:p>
          <w:p w14:paraId="306A25D4">
            <w:pPr>
              <w:pageBreakBefore w:val="0"/>
              <w:kinsoku/>
              <w:wordWrap/>
              <w:overflowPunct/>
              <w:topLinePunct w:val="0"/>
              <w:bidi w:val="0"/>
              <w:snapToGrid/>
              <w:spacing w:before="10" w:after="10" w:line="360" w:lineRule="auto"/>
              <w:textAlignment w:val="auto"/>
              <w:rPr>
                <w:rFonts w:hint="eastAsia" w:ascii="宋体" w:hAnsi="宋体" w:eastAsia="宋体" w:cs="宋体"/>
              </w:rPr>
            </w:pPr>
            <w:r>
              <w:rPr>
                <w:rFonts w:hint="eastAsia" w:ascii="宋体" w:hAnsi="宋体" w:eastAsia="宋体" w:cs="宋体"/>
                <w:szCs w:val="21"/>
              </w:rPr>
              <w:t>方案不够科学合理，内容欠缺，可操作性较低的得4分；</w:t>
            </w:r>
          </w:p>
          <w:p w14:paraId="7D44EFE5">
            <w:pPr>
              <w:pageBreakBefore w:val="0"/>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bidi w:val="0"/>
              <w:snapToGrid/>
              <w:spacing w:line="360" w:lineRule="auto"/>
              <w:jc w:val="left"/>
              <w:textAlignment w:val="auto"/>
              <w:rPr>
                <w:rFonts w:hint="eastAsia" w:ascii="宋体" w:hAnsi="宋体" w:eastAsia="宋体" w:cs="宋体"/>
                <w:szCs w:val="21"/>
              </w:rPr>
            </w:pPr>
            <w:r>
              <w:rPr>
                <w:rFonts w:hint="eastAsia" w:ascii="宋体" w:hAnsi="宋体" w:eastAsia="宋体" w:cs="宋体"/>
                <w:szCs w:val="21"/>
              </w:rPr>
              <w:t>未提供方案的不得分。</w:t>
            </w:r>
          </w:p>
        </w:tc>
        <w:tc>
          <w:tcPr>
            <w:tcW w:w="668" w:type="dxa"/>
            <w:tcBorders>
              <w:top w:val="single" w:color="auto" w:sz="4" w:space="0"/>
              <w:left w:val="dotted" w:color="auto" w:sz="4" w:space="0"/>
              <w:bottom w:val="single" w:color="auto" w:sz="4" w:space="0"/>
              <w:right w:val="single" w:color="auto" w:sz="4" w:space="0"/>
            </w:tcBorders>
            <w:noWrap w:val="0"/>
            <w:vAlign w:val="center"/>
          </w:tcPr>
          <w:p w14:paraId="4C9F3A66">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rPr>
              <w:t>10分</w:t>
            </w:r>
          </w:p>
        </w:tc>
      </w:tr>
      <w:tr w14:paraId="58260DD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68" w:hRule="atLeast"/>
        </w:trPr>
        <w:tc>
          <w:tcPr>
            <w:tcW w:w="778" w:type="dxa"/>
            <w:vMerge w:val="continue"/>
            <w:tcBorders>
              <w:left w:val="outset" w:color="auto" w:sz="6" w:space="0"/>
              <w:right w:val="outset" w:color="auto" w:sz="6" w:space="0"/>
            </w:tcBorders>
            <w:noWrap w:val="0"/>
            <w:vAlign w:val="center"/>
          </w:tcPr>
          <w:p w14:paraId="23C19341">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p>
        </w:tc>
        <w:tc>
          <w:tcPr>
            <w:tcW w:w="1980" w:type="dxa"/>
            <w:vMerge w:val="continue"/>
            <w:tcBorders>
              <w:top w:val="single" w:color="auto" w:sz="4" w:space="0"/>
              <w:left w:val="single" w:color="auto" w:sz="4" w:space="0"/>
              <w:right w:val="single" w:color="auto" w:sz="4" w:space="0"/>
            </w:tcBorders>
            <w:noWrap w:val="0"/>
            <w:vAlign w:val="center"/>
          </w:tcPr>
          <w:p w14:paraId="10729A8A">
            <w:pPr>
              <w:pageBreakBefore w:val="0"/>
              <w:kinsoku/>
              <w:wordWrap/>
              <w:overflowPunct/>
              <w:topLinePunct w:val="0"/>
              <w:bidi w:val="0"/>
              <w:snapToGrid/>
              <w:spacing w:line="360" w:lineRule="auto"/>
              <w:jc w:val="center"/>
              <w:textAlignment w:val="auto"/>
              <w:rPr>
                <w:rFonts w:hint="eastAsia" w:ascii="宋体" w:hAnsi="宋体" w:eastAsia="宋体" w:cs="宋体"/>
                <w:bCs/>
                <w:color w:val="000000"/>
                <w:szCs w:val="21"/>
              </w:rPr>
            </w:pPr>
          </w:p>
        </w:tc>
        <w:tc>
          <w:tcPr>
            <w:tcW w:w="1361" w:type="dxa"/>
            <w:tcBorders>
              <w:top w:val="single" w:color="auto" w:sz="4" w:space="0"/>
              <w:left w:val="single" w:color="auto" w:sz="4" w:space="0"/>
              <w:bottom w:val="single" w:color="auto" w:sz="4" w:space="0"/>
              <w:right w:val="outset" w:color="auto" w:sz="6" w:space="0"/>
            </w:tcBorders>
            <w:noWrap w:val="0"/>
            <w:vAlign w:val="center"/>
          </w:tcPr>
          <w:p w14:paraId="5F2EF502">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bCs/>
                <w:szCs w:val="21"/>
              </w:rPr>
              <w:t>政策变动及应急响应方案</w:t>
            </w:r>
          </w:p>
        </w:tc>
        <w:tc>
          <w:tcPr>
            <w:tcW w:w="4038" w:type="dxa"/>
            <w:tcBorders>
              <w:top w:val="single" w:color="auto" w:sz="4" w:space="0"/>
              <w:left w:val="single" w:color="auto" w:sz="4" w:space="0"/>
              <w:bottom w:val="single" w:color="auto" w:sz="4" w:space="0"/>
              <w:right w:val="single" w:color="auto" w:sz="4" w:space="0"/>
            </w:tcBorders>
            <w:noWrap w:val="0"/>
            <w:vAlign w:val="center"/>
          </w:tcPr>
          <w:p w14:paraId="0718630F">
            <w:pPr>
              <w:pageBreakBefore w:val="0"/>
              <w:kinsoku/>
              <w:wordWrap/>
              <w:overflowPunct/>
              <w:topLinePunct w:val="0"/>
              <w:bidi w:val="0"/>
              <w:snapToGrid/>
              <w:spacing w:line="360" w:lineRule="auto"/>
              <w:textAlignment w:val="auto"/>
              <w:rPr>
                <w:rFonts w:hint="eastAsia" w:ascii="宋体" w:hAnsi="宋体" w:eastAsia="宋体" w:cs="宋体"/>
                <w:bCs/>
                <w:szCs w:val="21"/>
              </w:rPr>
            </w:pPr>
            <w:r>
              <w:rPr>
                <w:rFonts w:hint="eastAsia" w:ascii="宋体" w:hAnsi="宋体" w:eastAsia="宋体" w:cs="宋体"/>
                <w:bCs/>
                <w:szCs w:val="21"/>
                <w:lang w:eastAsia="zh-CN"/>
              </w:rPr>
              <w:t>供应商</w:t>
            </w:r>
            <w:r>
              <w:rPr>
                <w:rFonts w:hint="eastAsia" w:ascii="宋体" w:hAnsi="宋体" w:eastAsia="宋体" w:cs="宋体"/>
                <w:bCs/>
                <w:szCs w:val="21"/>
              </w:rPr>
              <w:t>根据本项目实际需求编制政策变动及应急响应方案，方案内容包括但不限于针对因政策变动原因导致的各种问题及应急响应方案：</w:t>
            </w:r>
          </w:p>
          <w:p w14:paraId="5322E8A5">
            <w:pPr>
              <w:pageBreakBefore w:val="0"/>
              <w:kinsoku/>
              <w:wordWrap/>
              <w:overflowPunct/>
              <w:topLinePunct w:val="0"/>
              <w:bidi w:val="0"/>
              <w:snapToGrid/>
              <w:spacing w:line="360" w:lineRule="auto"/>
              <w:textAlignment w:val="auto"/>
              <w:rPr>
                <w:rFonts w:hint="eastAsia" w:ascii="宋体" w:hAnsi="宋体" w:eastAsia="宋体" w:cs="宋体"/>
                <w:bCs/>
                <w:szCs w:val="21"/>
              </w:rPr>
            </w:pPr>
            <w:r>
              <w:rPr>
                <w:rFonts w:hint="eastAsia" w:ascii="宋体" w:hAnsi="宋体" w:eastAsia="宋体" w:cs="宋体"/>
                <w:bCs/>
                <w:szCs w:val="21"/>
              </w:rPr>
              <w:t>考虑问题全面、保障措施科学合理、解决方案实用有效，得10分；</w:t>
            </w:r>
          </w:p>
          <w:p w14:paraId="39CBC8F9">
            <w:pPr>
              <w:pageBreakBefore w:val="0"/>
              <w:kinsoku/>
              <w:wordWrap/>
              <w:overflowPunct/>
              <w:topLinePunct w:val="0"/>
              <w:bidi w:val="0"/>
              <w:snapToGrid/>
              <w:spacing w:line="360" w:lineRule="auto"/>
              <w:textAlignment w:val="auto"/>
              <w:rPr>
                <w:rFonts w:hint="eastAsia" w:ascii="宋体" w:hAnsi="宋体" w:eastAsia="宋体" w:cs="宋体"/>
                <w:bCs/>
                <w:szCs w:val="21"/>
              </w:rPr>
            </w:pPr>
            <w:r>
              <w:rPr>
                <w:rFonts w:hint="eastAsia" w:ascii="宋体" w:hAnsi="宋体" w:eastAsia="宋体" w:cs="宋体"/>
                <w:bCs/>
                <w:szCs w:val="21"/>
              </w:rPr>
              <w:t>考虑问题较全面、保障措施较科学合理、解决方案较实用有效，得8分；</w:t>
            </w:r>
          </w:p>
          <w:p w14:paraId="4C5CBC1A">
            <w:pPr>
              <w:pageBreakBefore w:val="0"/>
              <w:kinsoku/>
              <w:wordWrap/>
              <w:overflowPunct/>
              <w:topLinePunct w:val="0"/>
              <w:bidi w:val="0"/>
              <w:snapToGrid/>
              <w:spacing w:line="360" w:lineRule="auto"/>
              <w:textAlignment w:val="auto"/>
              <w:rPr>
                <w:rFonts w:hint="eastAsia" w:ascii="宋体" w:hAnsi="宋体" w:eastAsia="宋体" w:cs="宋体"/>
                <w:bCs/>
                <w:szCs w:val="21"/>
              </w:rPr>
            </w:pPr>
            <w:r>
              <w:rPr>
                <w:rFonts w:hint="eastAsia" w:ascii="宋体" w:hAnsi="宋体" w:eastAsia="宋体" w:cs="宋体"/>
                <w:bCs/>
                <w:szCs w:val="21"/>
              </w:rPr>
              <w:t>考虑问题一般、保障措施一般、解决方案一般，得6分；</w:t>
            </w:r>
          </w:p>
          <w:p w14:paraId="380BA2EB">
            <w:pPr>
              <w:widowControl/>
              <w:spacing w:line="360" w:lineRule="auto"/>
              <w:jc w:val="left"/>
              <w:rPr>
                <w:rFonts w:hint="eastAsia" w:ascii="宋体" w:hAnsi="宋体" w:eastAsia="宋体" w:cs="宋体"/>
              </w:rPr>
            </w:pPr>
            <w:r>
              <w:rPr>
                <w:rFonts w:hint="eastAsia" w:ascii="宋体" w:hAnsi="宋体" w:eastAsia="宋体" w:cs="宋体"/>
                <w:bCs/>
                <w:szCs w:val="21"/>
              </w:rPr>
              <w:t>考虑欠缺、保障措施不全、解决方案欠缺，得4分；</w:t>
            </w:r>
          </w:p>
          <w:p w14:paraId="18F93D41">
            <w:pPr>
              <w:pageBreakBefore w:val="0"/>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bidi w:val="0"/>
              <w:snapToGrid/>
              <w:spacing w:line="360" w:lineRule="auto"/>
              <w:jc w:val="left"/>
              <w:textAlignment w:val="auto"/>
              <w:rPr>
                <w:rFonts w:hint="eastAsia" w:ascii="宋体" w:hAnsi="宋体" w:eastAsia="宋体" w:cs="宋体"/>
                <w:szCs w:val="21"/>
              </w:rPr>
            </w:pPr>
            <w:r>
              <w:rPr>
                <w:rFonts w:hint="eastAsia" w:ascii="宋体" w:hAnsi="宋体" w:eastAsia="宋体" w:cs="宋体"/>
                <w:bCs/>
                <w:szCs w:val="21"/>
              </w:rPr>
              <w:t>未提供方案</w:t>
            </w:r>
            <w:r>
              <w:rPr>
                <w:rFonts w:hint="eastAsia" w:ascii="宋体" w:hAnsi="宋体" w:eastAsia="宋体" w:cs="宋体"/>
                <w:bCs/>
                <w:szCs w:val="21"/>
                <w:lang w:val="en-US" w:eastAsia="zh-CN"/>
              </w:rPr>
              <w:t>的</w:t>
            </w:r>
            <w:r>
              <w:rPr>
                <w:rFonts w:hint="eastAsia" w:ascii="宋体" w:hAnsi="宋体" w:eastAsia="宋体" w:cs="宋体"/>
                <w:bCs/>
                <w:szCs w:val="21"/>
              </w:rPr>
              <w:t>不得分。</w:t>
            </w:r>
          </w:p>
        </w:tc>
        <w:tc>
          <w:tcPr>
            <w:tcW w:w="668" w:type="dxa"/>
            <w:tcBorders>
              <w:top w:val="single" w:color="auto" w:sz="4" w:space="0"/>
              <w:left w:val="dotted" w:color="auto" w:sz="4" w:space="0"/>
              <w:bottom w:val="single" w:color="auto" w:sz="4" w:space="0"/>
              <w:right w:val="single" w:color="auto" w:sz="4" w:space="0"/>
            </w:tcBorders>
            <w:noWrap w:val="0"/>
            <w:vAlign w:val="center"/>
          </w:tcPr>
          <w:p w14:paraId="335356B8">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rPr>
              <w:t>10分</w:t>
            </w:r>
          </w:p>
        </w:tc>
      </w:tr>
      <w:tr w14:paraId="3CA886A3">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68" w:hRule="atLeast"/>
        </w:trPr>
        <w:tc>
          <w:tcPr>
            <w:tcW w:w="778" w:type="dxa"/>
            <w:vMerge w:val="continue"/>
            <w:tcBorders>
              <w:left w:val="outset" w:color="auto" w:sz="6" w:space="0"/>
              <w:right w:val="outset" w:color="auto" w:sz="6" w:space="0"/>
            </w:tcBorders>
            <w:noWrap w:val="0"/>
            <w:vAlign w:val="center"/>
          </w:tcPr>
          <w:p w14:paraId="54AEB9BA">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p>
        </w:tc>
        <w:tc>
          <w:tcPr>
            <w:tcW w:w="1980" w:type="dxa"/>
            <w:vMerge w:val="continue"/>
            <w:tcBorders>
              <w:top w:val="single" w:color="auto" w:sz="4" w:space="0"/>
              <w:left w:val="single" w:color="auto" w:sz="4" w:space="0"/>
              <w:right w:val="single" w:color="auto" w:sz="4" w:space="0"/>
            </w:tcBorders>
            <w:noWrap w:val="0"/>
            <w:vAlign w:val="center"/>
          </w:tcPr>
          <w:p w14:paraId="7BA4E696">
            <w:pPr>
              <w:pageBreakBefore w:val="0"/>
              <w:kinsoku/>
              <w:wordWrap/>
              <w:overflowPunct/>
              <w:topLinePunct w:val="0"/>
              <w:bidi w:val="0"/>
              <w:snapToGrid/>
              <w:spacing w:line="360" w:lineRule="auto"/>
              <w:jc w:val="center"/>
              <w:textAlignment w:val="auto"/>
              <w:rPr>
                <w:rFonts w:hint="eastAsia" w:ascii="宋体" w:hAnsi="宋体" w:eastAsia="宋体" w:cs="宋体"/>
                <w:bCs/>
                <w:color w:val="000000"/>
                <w:szCs w:val="21"/>
              </w:rPr>
            </w:pPr>
          </w:p>
        </w:tc>
        <w:tc>
          <w:tcPr>
            <w:tcW w:w="1361" w:type="dxa"/>
            <w:tcBorders>
              <w:top w:val="single" w:color="auto" w:sz="4" w:space="0"/>
              <w:left w:val="single" w:color="auto" w:sz="4" w:space="0"/>
              <w:bottom w:val="single" w:color="auto" w:sz="4" w:space="0"/>
              <w:right w:val="outset" w:color="auto" w:sz="6" w:space="0"/>
            </w:tcBorders>
            <w:noWrap w:val="0"/>
            <w:vAlign w:val="center"/>
          </w:tcPr>
          <w:p w14:paraId="484CF735">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rPr>
              <w:t>售后服务方案</w:t>
            </w:r>
          </w:p>
        </w:tc>
        <w:tc>
          <w:tcPr>
            <w:tcW w:w="4038" w:type="dxa"/>
            <w:tcBorders>
              <w:top w:val="single" w:color="auto" w:sz="4" w:space="0"/>
              <w:left w:val="single" w:color="auto" w:sz="4" w:space="0"/>
              <w:bottom w:val="single" w:color="auto" w:sz="4" w:space="0"/>
              <w:right w:val="single" w:color="auto" w:sz="4" w:space="0"/>
            </w:tcBorders>
            <w:noWrap w:val="0"/>
            <w:vAlign w:val="center"/>
          </w:tcPr>
          <w:p w14:paraId="60B6627E">
            <w:pPr>
              <w:pageBreakBefore w:val="0"/>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bidi w:val="0"/>
              <w:snapToGrid/>
              <w:spacing w:line="360" w:lineRule="auto"/>
              <w:jc w:val="left"/>
              <w:textAlignment w:val="auto"/>
              <w:rPr>
                <w:rFonts w:hint="eastAsia" w:ascii="宋体" w:hAnsi="宋体" w:eastAsia="宋体" w:cs="宋体"/>
                <w:bCs/>
                <w:szCs w:val="21"/>
              </w:rPr>
            </w:pPr>
            <w:r>
              <w:rPr>
                <w:rFonts w:hint="eastAsia" w:ascii="宋体" w:hAnsi="宋体" w:eastAsia="宋体" w:cs="宋体"/>
                <w:bCs/>
                <w:szCs w:val="21"/>
                <w:lang w:eastAsia="zh-CN"/>
              </w:rPr>
              <w:t>供应商</w:t>
            </w:r>
            <w:r>
              <w:rPr>
                <w:rFonts w:hint="eastAsia" w:ascii="宋体" w:hAnsi="宋体" w:eastAsia="宋体" w:cs="宋体"/>
                <w:bCs/>
                <w:szCs w:val="21"/>
              </w:rPr>
              <w:t>提供售后服务包含但不限于专业培训、专业咨询等：</w:t>
            </w:r>
          </w:p>
          <w:p w14:paraId="480F3D15">
            <w:pPr>
              <w:pageBreakBefore w:val="0"/>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bidi w:val="0"/>
              <w:snapToGrid/>
              <w:spacing w:line="360" w:lineRule="auto"/>
              <w:jc w:val="left"/>
              <w:textAlignment w:val="auto"/>
              <w:rPr>
                <w:rFonts w:hint="eastAsia" w:ascii="宋体" w:hAnsi="宋体" w:eastAsia="宋体" w:cs="宋体"/>
                <w:bCs/>
                <w:szCs w:val="21"/>
              </w:rPr>
            </w:pPr>
            <w:r>
              <w:rPr>
                <w:rFonts w:hint="eastAsia" w:ascii="宋体" w:hAnsi="宋体" w:eastAsia="宋体" w:cs="宋体"/>
                <w:bCs/>
                <w:szCs w:val="21"/>
              </w:rPr>
              <w:t>提供的服务实用有效，亮点多，可行性强得10分；</w:t>
            </w:r>
          </w:p>
          <w:p w14:paraId="1C1AF868">
            <w:pPr>
              <w:pageBreakBefore w:val="0"/>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bidi w:val="0"/>
              <w:snapToGrid/>
              <w:spacing w:line="360" w:lineRule="auto"/>
              <w:jc w:val="left"/>
              <w:textAlignment w:val="auto"/>
              <w:rPr>
                <w:rFonts w:hint="eastAsia" w:ascii="宋体" w:hAnsi="宋体" w:eastAsia="宋体" w:cs="宋体"/>
                <w:bCs/>
                <w:szCs w:val="21"/>
              </w:rPr>
            </w:pPr>
            <w:r>
              <w:rPr>
                <w:rFonts w:hint="eastAsia" w:ascii="宋体" w:hAnsi="宋体" w:eastAsia="宋体" w:cs="宋体"/>
                <w:bCs/>
                <w:szCs w:val="21"/>
              </w:rPr>
              <w:t>提供的服务较实用、可行性较好得8分；</w:t>
            </w:r>
          </w:p>
          <w:p w14:paraId="50679465">
            <w:pPr>
              <w:pageBreakBefore w:val="0"/>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bidi w:val="0"/>
              <w:snapToGrid/>
              <w:spacing w:line="360" w:lineRule="auto"/>
              <w:jc w:val="left"/>
              <w:textAlignment w:val="auto"/>
              <w:rPr>
                <w:rFonts w:hint="eastAsia" w:ascii="宋体" w:hAnsi="宋体" w:eastAsia="宋体" w:cs="宋体"/>
                <w:bCs/>
                <w:szCs w:val="21"/>
              </w:rPr>
            </w:pPr>
            <w:r>
              <w:rPr>
                <w:rFonts w:hint="eastAsia" w:ascii="宋体" w:hAnsi="宋体" w:eastAsia="宋体" w:cs="宋体"/>
                <w:bCs/>
                <w:szCs w:val="21"/>
              </w:rPr>
              <w:t>提供的服务内容一般，无亮点得6分；</w:t>
            </w:r>
          </w:p>
          <w:p w14:paraId="202FA95A">
            <w:pPr>
              <w:pageBreakBefore w:val="0"/>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bidi w:val="0"/>
              <w:snapToGrid/>
              <w:spacing w:line="360" w:lineRule="auto"/>
              <w:jc w:val="left"/>
              <w:textAlignment w:val="auto"/>
              <w:rPr>
                <w:rFonts w:hint="eastAsia" w:ascii="宋体" w:hAnsi="宋体" w:eastAsia="宋体" w:cs="宋体"/>
                <w:bCs/>
                <w:szCs w:val="21"/>
              </w:rPr>
            </w:pPr>
            <w:r>
              <w:rPr>
                <w:rFonts w:hint="eastAsia" w:ascii="宋体" w:hAnsi="宋体" w:eastAsia="宋体" w:cs="宋体"/>
                <w:bCs/>
                <w:szCs w:val="21"/>
              </w:rPr>
              <w:t>服务方案可行性欠缺得4分；</w:t>
            </w:r>
          </w:p>
          <w:p w14:paraId="46F73375">
            <w:pPr>
              <w:pageBreakBefore w:val="0"/>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bidi w:val="0"/>
              <w:snapToGrid/>
              <w:spacing w:line="360" w:lineRule="auto"/>
              <w:jc w:val="left"/>
              <w:textAlignment w:val="auto"/>
              <w:rPr>
                <w:rFonts w:hint="eastAsia" w:ascii="宋体" w:hAnsi="宋体" w:eastAsia="宋体" w:cs="宋体"/>
                <w:szCs w:val="21"/>
              </w:rPr>
            </w:pPr>
            <w:r>
              <w:rPr>
                <w:rFonts w:hint="eastAsia" w:ascii="宋体" w:hAnsi="宋体" w:eastAsia="宋体" w:cs="宋体"/>
                <w:bCs/>
                <w:szCs w:val="21"/>
              </w:rPr>
              <w:t>未提供方案</w:t>
            </w:r>
            <w:r>
              <w:rPr>
                <w:rFonts w:hint="eastAsia" w:ascii="宋体" w:hAnsi="宋体" w:eastAsia="宋体" w:cs="宋体"/>
                <w:bCs/>
                <w:szCs w:val="21"/>
                <w:lang w:val="en-US" w:eastAsia="zh-CN"/>
              </w:rPr>
              <w:t>的</w:t>
            </w:r>
            <w:r>
              <w:rPr>
                <w:rFonts w:hint="eastAsia" w:ascii="宋体" w:hAnsi="宋体" w:eastAsia="宋体" w:cs="宋体"/>
                <w:bCs/>
                <w:szCs w:val="21"/>
              </w:rPr>
              <w:t>不得分。</w:t>
            </w:r>
          </w:p>
        </w:tc>
        <w:tc>
          <w:tcPr>
            <w:tcW w:w="668" w:type="dxa"/>
            <w:tcBorders>
              <w:top w:val="single" w:color="auto" w:sz="4" w:space="0"/>
              <w:left w:val="dotted" w:color="auto" w:sz="4" w:space="0"/>
              <w:bottom w:val="single" w:color="auto" w:sz="4" w:space="0"/>
              <w:right w:val="single" w:color="auto" w:sz="4" w:space="0"/>
            </w:tcBorders>
            <w:noWrap w:val="0"/>
            <w:vAlign w:val="center"/>
          </w:tcPr>
          <w:p w14:paraId="105C7F46">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rPr>
              <w:t>10分</w:t>
            </w:r>
          </w:p>
        </w:tc>
      </w:tr>
      <w:tr w14:paraId="57498B81">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10" w:hRule="atLeast"/>
        </w:trPr>
        <w:tc>
          <w:tcPr>
            <w:tcW w:w="2758" w:type="dxa"/>
            <w:gridSpan w:val="2"/>
            <w:tcBorders>
              <w:top w:val="outset" w:color="auto" w:sz="6" w:space="0"/>
              <w:left w:val="outset" w:color="auto" w:sz="6" w:space="0"/>
              <w:bottom w:val="outset" w:color="auto" w:sz="6" w:space="0"/>
              <w:right w:val="single" w:color="auto" w:sz="4" w:space="0"/>
            </w:tcBorders>
            <w:noWrap w:val="0"/>
            <w:vAlign w:val="center"/>
          </w:tcPr>
          <w:p w14:paraId="4341E58A">
            <w:pPr>
              <w:pageBreakBefore w:val="0"/>
              <w:kinsoku/>
              <w:wordWrap/>
              <w:overflowPunct/>
              <w:topLinePunct w:val="0"/>
              <w:bidi w:val="0"/>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rPr>
              <w:t>综合评估得分</w:t>
            </w:r>
          </w:p>
        </w:tc>
        <w:tc>
          <w:tcPr>
            <w:tcW w:w="6067" w:type="dxa"/>
            <w:gridSpan w:val="3"/>
            <w:tcBorders>
              <w:top w:val="outset" w:color="auto" w:sz="6" w:space="0"/>
              <w:left w:val="single" w:color="auto" w:sz="4" w:space="0"/>
              <w:bottom w:val="outset" w:color="auto" w:sz="6" w:space="0"/>
              <w:right w:val="outset" w:color="auto" w:sz="6" w:space="0"/>
            </w:tcBorders>
            <w:noWrap w:val="0"/>
            <w:vAlign w:val="center"/>
          </w:tcPr>
          <w:p w14:paraId="21ABD93C">
            <w:pPr>
              <w:pageBreakBefore w:val="0"/>
              <w:kinsoku/>
              <w:wordWrap/>
              <w:overflowPunct/>
              <w:topLinePunct w:val="0"/>
              <w:bidi w:val="0"/>
              <w:snapToGrid/>
              <w:spacing w:line="360" w:lineRule="auto"/>
              <w:jc w:val="left"/>
              <w:textAlignment w:val="auto"/>
              <w:rPr>
                <w:rFonts w:hint="eastAsia" w:ascii="宋体" w:hAnsi="宋体" w:eastAsia="宋体" w:cs="宋体"/>
                <w:szCs w:val="21"/>
              </w:rPr>
            </w:pPr>
            <w:r>
              <w:rPr>
                <w:rFonts w:hint="eastAsia" w:ascii="宋体" w:hAnsi="宋体" w:eastAsia="宋体" w:cs="宋体"/>
                <w:szCs w:val="21"/>
              </w:rPr>
              <w:t>所有磋商评审小组评委评分的平均值。</w:t>
            </w:r>
          </w:p>
        </w:tc>
      </w:tr>
    </w:tbl>
    <w:p w14:paraId="7B2DDFA4">
      <w:pPr>
        <w:jc w:val="right"/>
        <w:rPr>
          <w:rFonts w:hint="eastAsia"/>
          <w:lang w:eastAsia="zh-CN"/>
        </w:rPr>
      </w:pPr>
    </w:p>
    <w:p w14:paraId="696F5839">
      <w:pPr>
        <w:jc w:val="right"/>
        <w:rPr>
          <w:rFonts w:hint="eastAsia"/>
          <w:lang w:eastAsia="zh-CN"/>
        </w:rPr>
      </w:pPr>
    </w:p>
    <w:p w14:paraId="12396C22">
      <w:pPr>
        <w:jc w:val="right"/>
        <w:rPr>
          <w:rFonts w:hint="eastAsia"/>
          <w:lang w:eastAsia="zh-CN"/>
        </w:rPr>
      </w:pPr>
      <w:r>
        <w:rPr>
          <w:rFonts w:hint="eastAsia"/>
          <w:lang w:val="en-US" w:eastAsia="zh-CN"/>
        </w:rPr>
        <w:t> 采购人：国家东中西区域合作示范区（连云港徐圩新区）市场监督管理局</w:t>
      </w:r>
    </w:p>
    <w:p w14:paraId="47377CB9">
      <w:pPr>
        <w:jc w:val="right"/>
        <w:rPr>
          <w:rFonts w:hint="eastAsia"/>
          <w:lang w:eastAsia="zh-CN"/>
        </w:rPr>
      </w:pPr>
    </w:p>
    <w:p w14:paraId="141DACE1">
      <w:pPr>
        <w:jc w:val="right"/>
        <w:rPr>
          <w:rFonts w:hint="eastAsia"/>
          <w:lang w:eastAsia="zh-CN"/>
        </w:rPr>
      </w:pPr>
      <w:r>
        <w:rPr>
          <w:rFonts w:hint="eastAsia"/>
          <w:lang w:val="en-US" w:eastAsia="zh-CN"/>
        </w:rPr>
        <w:t>                       代理机构：中化商务有限公司</w:t>
      </w:r>
    </w:p>
    <w:p w14:paraId="16FE49D0">
      <w:pPr>
        <w:jc w:val="right"/>
        <w:rPr>
          <w:rFonts w:hint="eastAsia"/>
          <w:lang w:eastAsia="zh-CN"/>
        </w:rPr>
      </w:pPr>
    </w:p>
    <w:p w14:paraId="03276029">
      <w:pPr>
        <w:jc w:val="right"/>
        <w:rPr>
          <w:rFonts w:hint="eastAsia"/>
          <w:lang w:eastAsia="zh-CN"/>
        </w:rPr>
      </w:pPr>
      <w:r>
        <w:rPr>
          <w:rFonts w:hint="eastAsia"/>
          <w:lang w:val="en-US" w:eastAsia="zh-CN"/>
        </w:rPr>
        <w:t>                          </w:t>
      </w:r>
      <w:r>
        <w:rPr>
          <w:rFonts w:hint="eastAsia" w:ascii="宋体" w:hAnsi="宋体" w:eastAsia="宋体" w:cs="宋体"/>
          <w:lang w:val="en-US" w:eastAsia="zh-CN"/>
        </w:rPr>
        <w:t>日 期：2026年03月09日</w:t>
      </w:r>
    </w:p>
    <w:p w14:paraId="1E052283">
      <w:pPr>
        <w:jc w:val="center"/>
        <w:rPr>
          <w:rFonts w:hint="eastAsia"/>
          <w:lang w:eastAsia="zh-CN"/>
        </w:rPr>
      </w:pPr>
    </w:p>
    <w:p w14:paraId="1D83EFF9">
      <w:pPr>
        <w:jc w:val="cente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9913B2"/>
    <w:rsid w:val="183879D7"/>
    <w:rsid w:val="1FB65DB1"/>
    <w:rsid w:val="263A491A"/>
    <w:rsid w:val="27E25DE6"/>
    <w:rsid w:val="3C1322F8"/>
    <w:rsid w:val="40CD2B03"/>
    <w:rsid w:val="697D65C5"/>
    <w:rsid w:val="6CB85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Calibri"/>
      <w:color w:val="000000"/>
      <w:sz w:val="24"/>
      <w:szCs w:val="24"/>
      <w:lang w:val="en-US" w:eastAsia="zh-CN" w:bidi="ar-SA"/>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6">
    <w:name w:val="Table Paragraph"/>
    <w:basedOn w:val="1"/>
    <w:qFormat/>
    <w:uiPriority w:val="1"/>
    <w:pPr>
      <w:autoSpaceDE w:val="0"/>
      <w:autoSpaceDN w:val="0"/>
      <w:jc w:val="left"/>
    </w:pPr>
    <w:rPr>
      <w:rFonts w:ascii="宋体" w:hAnsi="宋体" w:cs="宋体"/>
      <w:sz w:val="22"/>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2404</Words>
  <Characters>2516</Characters>
  <Lines>0</Lines>
  <Paragraphs>0</Paragraphs>
  <TotalTime>24</TotalTime>
  <ScaleCrop>false</ScaleCrop>
  <LinksUpToDate>false</LinksUpToDate>
  <CharactersWithSpaces>2567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2026-03-09T01:07:00Z</dcterms:created>
  <dc:creator>sinoc</dc:creator>
  <cp:lastModifiedBy>CY</cp:lastModifiedBy>
  <dcterms:modified xsi:type="dcterms:W3CDTF">2026-03-09T01:43:41Z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eyJoZGlkIjoiMTZjOTQzZmUzNzRmYTM2ZDA5ZDI5NDBmZWM4M2M2MmEiLCJ1c2VySWQiOiIxNDA5NDU4NjU3In0=</vt:lpwstr>
  </property>
  <property fmtid="{D5CDD505-2E9C-101B-9397-08002B2CF9AE}" pid="4" name="ICV">
    <vt:lpwstr>50BDF7AA179A43019311D0EDE723E5A1_12</vt:lpwstr>
  </property>
</Properties>
</file>